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814"/>
        <w:gridCol w:w="4578"/>
        <w:gridCol w:w="1856"/>
        <w:gridCol w:w="2242"/>
      </w:tblGrid>
      <w:tr w:rsidR="00C237AF" w:rsidTr="004A52CF">
        <w:trPr>
          <w:trHeight w:val="274"/>
        </w:trPr>
        <w:tc>
          <w:tcPr>
            <w:tcW w:w="1814" w:type="dxa"/>
            <w:vMerge w:val="restart"/>
          </w:tcPr>
          <w:p w:rsidR="00C237AF" w:rsidRDefault="00C237AF" w:rsidP="004351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22860</wp:posOffset>
                  </wp:positionV>
                  <wp:extent cx="923925" cy="885825"/>
                  <wp:effectExtent l="19050" t="0" r="9525" b="0"/>
                  <wp:wrapNone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8" w:type="dxa"/>
            <w:vMerge w:val="restart"/>
            <w:vAlign w:val="center"/>
          </w:tcPr>
          <w:p w:rsidR="00C237AF" w:rsidRDefault="002871BE" w:rsidP="0043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ELASTİSİTE MODÜLÜ ÇERÇEVESİNİN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KULLANMA, BAKIM VE ONARIM TALİMATI</w:t>
            </w:r>
          </w:p>
        </w:tc>
        <w:tc>
          <w:tcPr>
            <w:tcW w:w="1856" w:type="dxa"/>
          </w:tcPr>
          <w:p w:rsidR="00C237AF" w:rsidRDefault="00C237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2242" w:type="dxa"/>
          </w:tcPr>
          <w:p w:rsidR="00C237AF" w:rsidRDefault="00C237AF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2871BE">
              <w:rPr>
                <w:rFonts w:cs="Times New Roman"/>
              </w:rPr>
              <w:t>207</w:t>
            </w:r>
          </w:p>
        </w:tc>
      </w:tr>
      <w:tr w:rsidR="00C237AF" w:rsidTr="004A52CF">
        <w:trPr>
          <w:trHeight w:val="273"/>
        </w:trPr>
        <w:tc>
          <w:tcPr>
            <w:tcW w:w="1814" w:type="dxa"/>
            <w:vMerge/>
          </w:tcPr>
          <w:p w:rsidR="00C237AF" w:rsidRDefault="00C237AF" w:rsidP="004351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C237AF" w:rsidRDefault="00C237AF" w:rsidP="0043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237AF" w:rsidRDefault="00C237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2242" w:type="dxa"/>
          </w:tcPr>
          <w:p w:rsidR="00C237AF" w:rsidRDefault="002871BE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C237AF">
              <w:rPr>
                <w:rFonts w:cs="Times New Roman"/>
              </w:rPr>
              <w:t>.08.2015</w:t>
            </w:r>
          </w:p>
        </w:tc>
      </w:tr>
      <w:tr w:rsidR="00C237AF" w:rsidTr="004A52CF">
        <w:trPr>
          <w:trHeight w:val="263"/>
        </w:trPr>
        <w:tc>
          <w:tcPr>
            <w:tcW w:w="1814" w:type="dxa"/>
            <w:vMerge/>
          </w:tcPr>
          <w:p w:rsidR="00C237AF" w:rsidRDefault="00C237AF" w:rsidP="004351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C237AF" w:rsidRDefault="00C237AF" w:rsidP="0043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237AF" w:rsidRDefault="00C237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2242" w:type="dxa"/>
          </w:tcPr>
          <w:p w:rsidR="00C237AF" w:rsidRDefault="00C237AF">
            <w:pPr>
              <w:rPr>
                <w:rFonts w:cs="Times New Roman"/>
              </w:rPr>
            </w:pPr>
          </w:p>
        </w:tc>
      </w:tr>
      <w:tr w:rsidR="00C237AF" w:rsidTr="004A52CF">
        <w:trPr>
          <w:trHeight w:val="280"/>
        </w:trPr>
        <w:tc>
          <w:tcPr>
            <w:tcW w:w="1814" w:type="dxa"/>
            <w:vMerge/>
          </w:tcPr>
          <w:p w:rsidR="00C237AF" w:rsidRDefault="00C237AF" w:rsidP="004351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C237AF" w:rsidRDefault="00C237AF" w:rsidP="0043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237AF" w:rsidRDefault="00C237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2242" w:type="dxa"/>
          </w:tcPr>
          <w:p w:rsidR="00C237AF" w:rsidRDefault="00C237AF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C237AF" w:rsidTr="004A52CF">
        <w:trPr>
          <w:trHeight w:val="271"/>
        </w:trPr>
        <w:tc>
          <w:tcPr>
            <w:tcW w:w="1814" w:type="dxa"/>
            <w:vMerge/>
          </w:tcPr>
          <w:p w:rsidR="00C237AF" w:rsidRDefault="00C237AF" w:rsidP="004351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vMerge/>
          </w:tcPr>
          <w:p w:rsidR="00C237AF" w:rsidRDefault="00C237AF" w:rsidP="0043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237AF" w:rsidRDefault="00C237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2242" w:type="dxa"/>
          </w:tcPr>
          <w:p w:rsidR="00C237AF" w:rsidRDefault="00C237AF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76672B">
              <w:fldChar w:fldCharType="begin"/>
            </w:r>
            <w:r w:rsidR="0076672B">
              <w:instrText xml:space="preserve"> NUMPAGES   \* MERGEFORMAT </w:instrText>
            </w:r>
            <w:r w:rsidR="0076672B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76672B">
              <w:rPr>
                <w:rFonts w:cs="Times New Roman"/>
                <w:noProof/>
              </w:rPr>
              <w:fldChar w:fldCharType="end"/>
            </w:r>
          </w:p>
        </w:tc>
      </w:tr>
      <w:tr w:rsidR="00140AEF" w:rsidTr="004A5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39"/>
        </w:trPr>
        <w:tc>
          <w:tcPr>
            <w:tcW w:w="10490" w:type="dxa"/>
            <w:gridSpan w:val="4"/>
          </w:tcPr>
          <w:p w:rsidR="00140AEF" w:rsidRPr="0075195D" w:rsidRDefault="004A52CF" w:rsidP="004351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3839210</wp:posOffset>
                  </wp:positionH>
                  <wp:positionV relativeFrom="paragraph">
                    <wp:posOffset>132715</wp:posOffset>
                  </wp:positionV>
                  <wp:extent cx="2324100" cy="1743075"/>
                  <wp:effectExtent l="57150" t="38100" r="38100" b="28575"/>
                  <wp:wrapThrough wrapText="bothSides">
                    <wp:wrapPolygon edited="0">
                      <wp:start x="-531" y="-472"/>
                      <wp:lineTo x="-531" y="21954"/>
                      <wp:lineTo x="21954" y="21954"/>
                      <wp:lineTo x="21954" y="-472"/>
                      <wp:lineTo x="-531" y="-472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AEF" w:rsidRPr="0075195D" w:rsidRDefault="00140AEF" w:rsidP="004351E2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140AEF" w:rsidRDefault="00140AEF" w:rsidP="004351E2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 xml:space="preserve">. Laboratuvarı’nda bulunan </w:t>
            </w:r>
            <w:proofErr w:type="spellStart"/>
            <w:r>
              <w:rPr>
                <w:rFonts w:ascii="Times New Roman" w:hAnsi="Times New Roman" w:cs="Times New Roman"/>
              </w:rPr>
              <w:t>Elastisite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Modülü Çerçevesinin</w:t>
            </w:r>
            <w:r w:rsidRPr="0075195D">
              <w:rPr>
                <w:rFonts w:ascii="Times New Roman" w:hAnsi="Times New Roman" w:cs="Times New Roman"/>
              </w:rPr>
              <w:t xml:space="preserve"> kullanımına yönelik işlemleri belirtmektir.</w:t>
            </w:r>
          </w:p>
          <w:p w:rsidR="00140AEF" w:rsidRPr="0075195D" w:rsidRDefault="00140AEF" w:rsidP="004351E2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140AEF" w:rsidRDefault="00140AEF" w:rsidP="004351E2">
            <w:pPr>
              <w:spacing w:before="100" w:beforeAutospacing="1" w:after="100" w:afterAutospacing="1"/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proofErr w:type="spellStart"/>
            <w:r>
              <w:rPr>
                <w:rFonts w:ascii="Times New Roman" w:hAnsi="Times New Roman" w:cs="Times New Roman"/>
              </w:rPr>
              <w:t>Elastisite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Modülü Çerçevesinin</w:t>
            </w:r>
            <w:r w:rsidRPr="0075195D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140AEF" w:rsidRPr="0075195D" w:rsidRDefault="00140AEF" w:rsidP="004351E2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504CB5" w:rsidRDefault="00504CB5" w:rsidP="00504CB5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346BC8" w:rsidRDefault="00346BC8" w:rsidP="004351E2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0D0D2D" w:rsidRPr="000D0D2D" w:rsidRDefault="000D0D2D" w:rsidP="00A935B4">
            <w:pPr>
              <w:tabs>
                <w:tab w:val="left" w:pos="284"/>
              </w:tabs>
              <w:spacing w:before="100" w:beforeAutospacing="1" w:after="100" w:afterAutospacing="1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LVDT: Düşey </w:t>
            </w:r>
            <w:proofErr w:type="gramStart"/>
            <w:r>
              <w:rPr>
                <w:rFonts w:ascii="Times New Roman" w:hAnsi="Times New Roman" w:cs="Times New Roman"/>
              </w:rPr>
              <w:t>deplasman</w:t>
            </w:r>
            <w:proofErr w:type="gramEnd"/>
            <w:r>
              <w:rPr>
                <w:rFonts w:ascii="Times New Roman" w:hAnsi="Times New Roman" w:cs="Times New Roman"/>
              </w:rPr>
              <w:t xml:space="preserve"> ölçen elektronik alet, çerçeveye monte edilir.</w:t>
            </w:r>
          </w:p>
          <w:p w:rsidR="00140AEF" w:rsidRDefault="00140AEF" w:rsidP="004351E2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140AEF" w:rsidRDefault="00346BC8" w:rsidP="004351E2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5.1 Cihazın Kullanımı</w:t>
            </w:r>
          </w:p>
          <w:p w:rsidR="0028754B" w:rsidRDefault="0028754B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LVDT ve </w:t>
            </w:r>
            <w:proofErr w:type="spellStart"/>
            <w:r>
              <w:rPr>
                <w:rFonts w:ascii="Times New Roman" w:hAnsi="Times New Roman" w:cs="Times New Roman"/>
              </w:rPr>
              <w:t>loadcell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kabloları kayıt cihazına bağlanır.</w:t>
            </w:r>
          </w:p>
          <w:p w:rsidR="00140AEF" w:rsidRDefault="0028754B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 çerçeve içerisine düzgünde ortalı olarak yerleştirilir ve sabitleme vidaları sıkılır.</w:t>
            </w:r>
          </w:p>
          <w:p w:rsidR="0028754B" w:rsidRDefault="0028754B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Sabitleme çubukları, vidaları gevşetilerek çıkartılır.</w:t>
            </w:r>
          </w:p>
          <w:p w:rsidR="0028754B" w:rsidRDefault="0028754B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Üzerine çerçeve sabitlenmiş numune, </w:t>
            </w:r>
            <w:r w:rsidR="0007254E">
              <w:rPr>
                <w:rFonts w:ascii="Times New Roman" w:hAnsi="Times New Roman" w:cs="Times New Roman"/>
              </w:rPr>
              <w:t>basınç makinesi yük eksenine gelecek şekilde düzgünce yük tablaları arasına yerleştirilir.</w:t>
            </w:r>
          </w:p>
          <w:p w:rsidR="0007254E" w:rsidRDefault="0007254E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cihazına hafıza kartı (SD kart) takılır.</w:t>
            </w:r>
          </w:p>
          <w:p w:rsidR="0007254E" w:rsidRDefault="0007254E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cihazı güç kablosu prize takılır.</w:t>
            </w:r>
          </w:p>
          <w:p w:rsidR="0007254E" w:rsidRDefault="0007254E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 ölçüm hücreleri sıfırlanır.</w:t>
            </w:r>
          </w:p>
          <w:p w:rsidR="0007254E" w:rsidRDefault="0007254E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New&gt;”Dosya ismi”&gt; OK&gt; </w:t>
            </w:r>
            <w:proofErr w:type="spellStart"/>
            <w:r>
              <w:rPr>
                <w:rFonts w:ascii="Times New Roman" w:hAnsi="Times New Roman" w:cs="Times New Roman"/>
              </w:rPr>
              <w:t>Rec</w:t>
            </w:r>
            <w:proofErr w:type="spellEnd"/>
            <w:r>
              <w:rPr>
                <w:rFonts w:ascii="Times New Roman" w:hAnsi="Times New Roman" w:cs="Times New Roman"/>
              </w:rPr>
              <w:t xml:space="preserve">. işlemleri sırasıyla takip edilerek ölçüm </w:t>
            </w:r>
            <w:proofErr w:type="spellStart"/>
            <w:r>
              <w:rPr>
                <w:rFonts w:ascii="Times New Roman" w:hAnsi="Times New Roman" w:cs="Times New Roman"/>
              </w:rPr>
              <w:t>kayıdı</w:t>
            </w:r>
            <w:proofErr w:type="spellEnd"/>
            <w:r>
              <w:rPr>
                <w:rFonts w:ascii="Times New Roman" w:hAnsi="Times New Roman" w:cs="Times New Roman"/>
              </w:rPr>
              <w:t xml:space="preserve"> başlatılır.</w:t>
            </w:r>
          </w:p>
          <w:p w:rsidR="0007254E" w:rsidRDefault="0007254E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Basınç makinası yükleme işlemi başlatılır.</w:t>
            </w:r>
          </w:p>
          <w:p w:rsidR="0007254E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Numuneye yüklenmesi istenen nihai yüke ulaşıldığında, basınç makinası yükleme işlemi durdurulur.</w:t>
            </w:r>
          </w:p>
          <w:p w:rsidR="00D833D6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cihazında Stop&gt;</w:t>
            </w:r>
            <w:proofErr w:type="spellStart"/>
            <w:r>
              <w:rPr>
                <w:rFonts w:ascii="Times New Roman" w:hAnsi="Times New Roman" w:cs="Times New Roman"/>
              </w:rPr>
              <w:t>Cancel</w:t>
            </w:r>
            <w:proofErr w:type="spellEnd"/>
            <w:r>
              <w:rPr>
                <w:rFonts w:ascii="Times New Roman" w:hAnsi="Times New Roman" w:cs="Times New Roman"/>
              </w:rPr>
              <w:t xml:space="preserve"> işlem adımları uygulanır ve kayıt durdurulur.</w:t>
            </w:r>
          </w:p>
          <w:p w:rsidR="00D833D6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 basınç tablaları arasından çerçeveye dikkat edilerek düzgün şekilde çıkartılır.</w:t>
            </w:r>
          </w:p>
          <w:p w:rsidR="00D833D6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Sabitleme çubukları çerçeveye vidalar ile monte edilir.</w:t>
            </w:r>
          </w:p>
          <w:p w:rsidR="00D833D6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 sabitleme vidaları gevşetilir ve numune çerçeveden çıkartılır.</w:t>
            </w:r>
          </w:p>
          <w:p w:rsidR="00D833D6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cihazı kapatılır ve güç kablosu prizden çıkartılır.</w:t>
            </w:r>
          </w:p>
          <w:p w:rsidR="00D833D6" w:rsidRDefault="00D833D6" w:rsidP="004351E2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Hafıza kartı (SD kart) cihazdan çıkartılır.</w:t>
            </w:r>
          </w:p>
          <w:p w:rsidR="004351E2" w:rsidRDefault="004351E2" w:rsidP="004351E2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346BC8" w:rsidRDefault="00346BC8" w:rsidP="004351E2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346BC8">
              <w:rPr>
                <w:rFonts w:ascii="Times New Roman" w:hAnsi="Times New Roman" w:cs="Times New Roman"/>
                <w:b/>
              </w:rPr>
              <w:t xml:space="preserve">5.2 Cihazın </w:t>
            </w:r>
            <w:r>
              <w:rPr>
                <w:rFonts w:ascii="Times New Roman" w:hAnsi="Times New Roman" w:cs="Times New Roman"/>
                <w:b/>
              </w:rPr>
              <w:t>Bakımı</w:t>
            </w:r>
          </w:p>
          <w:p w:rsidR="00346BC8" w:rsidRDefault="00346BC8" w:rsidP="00A935B4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</w:t>
            </w:r>
            <w:r>
              <w:rPr>
                <w:rFonts w:ascii="Times New Roman" w:hAnsi="Times New Roman" w:cs="Times New Roman"/>
              </w:rPr>
              <w:t xml:space="preserve">ıkarılmış olması gerekmektedir. Kullanım sonrası çerçeve ve kayıt kutusu tozlardan arındırılmalıdır. </w:t>
            </w:r>
          </w:p>
          <w:p w:rsidR="00346BC8" w:rsidRDefault="00937740" w:rsidP="004351E2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157480</wp:posOffset>
                  </wp:positionV>
                  <wp:extent cx="533400" cy="593725"/>
                  <wp:effectExtent l="0" t="0" r="0" b="0"/>
                  <wp:wrapSquare wrapText="bothSides"/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6BC8" w:rsidRPr="00346BC8" w:rsidRDefault="00346BC8" w:rsidP="004351E2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346BC8">
              <w:rPr>
                <w:rFonts w:ascii="Times New Roman" w:hAnsi="Times New Roman" w:cs="Times New Roman"/>
                <w:b/>
              </w:rPr>
              <w:t>5.3 Güvenlik Önlemleri</w:t>
            </w:r>
          </w:p>
          <w:p w:rsidR="00346BC8" w:rsidRPr="00730EA0" w:rsidRDefault="00730EA0" w:rsidP="00A935B4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730EA0">
              <w:rPr>
                <w:rFonts w:ascii="Times New Roman" w:hAnsi="Times New Roman" w:cs="Times New Roman"/>
              </w:rPr>
              <w:t xml:space="preserve">Cihazın kullanımı esnasında </w:t>
            </w:r>
            <w:r>
              <w:rPr>
                <w:rFonts w:ascii="Times New Roman" w:hAnsi="Times New Roman" w:cs="Times New Roman"/>
              </w:rPr>
              <w:t>pudralı eldiven ve önlük ile laboratuvar tipi iş gözlüğü kullanılmalıdır.</w:t>
            </w:r>
            <w:r w:rsidR="00A935B4">
              <w:rPr>
                <w:rFonts w:ascii="Times New Roman" w:hAnsi="Times New Roman" w:cs="Times New Roman"/>
              </w:rPr>
              <w:t xml:space="preserve"> Ayrıca LVDT uç kısmına dikkat edilmeli, yükleme sırasında ezilmesi veya aksi ekseninde darbe alarak zorlanması engellenmelidir. Yükleme sırasında numunede şekil değiştirmeler kontrol edilmeli, çerçevenin yatay ve düşey </w:t>
            </w:r>
            <w:proofErr w:type="spellStart"/>
            <w:r w:rsidR="00A935B4">
              <w:rPr>
                <w:rFonts w:ascii="Times New Roman" w:hAnsi="Times New Roman" w:cs="Times New Roman"/>
              </w:rPr>
              <w:t>stabilitesi</w:t>
            </w:r>
            <w:r w:rsidR="006D4E5E">
              <w:rPr>
                <w:rFonts w:ascii="Times New Roman" w:hAnsi="Times New Roman" w:cs="Times New Roman"/>
              </w:rPr>
              <w:t>nin</w:t>
            </w:r>
            <w:proofErr w:type="spellEnd"/>
            <w:r w:rsidR="00A935B4">
              <w:rPr>
                <w:rFonts w:ascii="Times New Roman" w:hAnsi="Times New Roman" w:cs="Times New Roman"/>
              </w:rPr>
              <w:t xml:space="preserve"> bozulması durumunda yükleme işlemi durdurulmalıdır.</w:t>
            </w:r>
          </w:p>
        </w:tc>
      </w:tr>
      <w:tr w:rsidR="00140AEF" w:rsidTr="004A5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10490" w:type="dxa"/>
            <w:gridSpan w:val="4"/>
          </w:tcPr>
          <w:p w:rsidR="00140AEF" w:rsidRDefault="00140AEF" w:rsidP="004351E2">
            <w:pPr>
              <w:spacing w:before="100" w:beforeAutospacing="1" w:after="100" w:afterAutospacing="1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8797D" w:rsidRPr="006E4CA1" w:rsidRDefault="00140AEF" w:rsidP="00C879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A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97D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140AEF" w:rsidRPr="0075195D" w:rsidRDefault="00DC12FB" w:rsidP="001F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Nezaket YILDIZ                         </w:t>
            </w:r>
            <w:r w:rsidR="0076672B">
              <w:rPr>
                <w:rFonts w:ascii="Times New Roman" w:hAnsi="Times New Roman"/>
                <w:sz w:val="24"/>
                <w:szCs w:val="24"/>
              </w:rPr>
              <w:t xml:space="preserve">Prof. Dr. İhsan KAYA            Prof. Dr. Umut Rıfat TUZKAYA           </w:t>
            </w:r>
            <w:bookmarkStart w:id="0" w:name="_GoBack"/>
            <w:bookmarkEnd w:id="0"/>
          </w:p>
        </w:tc>
      </w:tr>
    </w:tbl>
    <w:p w:rsidR="003A3BE7" w:rsidRDefault="003A3BE7" w:rsidP="004A52CF">
      <w:pPr>
        <w:spacing w:before="100" w:beforeAutospacing="1" w:after="100" w:afterAutospacing="1" w:line="240" w:lineRule="auto"/>
      </w:pPr>
    </w:p>
    <w:sectPr w:rsidR="003A3BE7" w:rsidSect="004A52C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C08"/>
    <w:rsid w:val="00003459"/>
    <w:rsid w:val="000110B8"/>
    <w:rsid w:val="00011593"/>
    <w:rsid w:val="000118E5"/>
    <w:rsid w:val="000138F6"/>
    <w:rsid w:val="00021062"/>
    <w:rsid w:val="00025867"/>
    <w:rsid w:val="00026461"/>
    <w:rsid w:val="00027B21"/>
    <w:rsid w:val="000313EA"/>
    <w:rsid w:val="000356AE"/>
    <w:rsid w:val="0004427E"/>
    <w:rsid w:val="00045F3A"/>
    <w:rsid w:val="00053CBC"/>
    <w:rsid w:val="000640F4"/>
    <w:rsid w:val="0007254E"/>
    <w:rsid w:val="000851E9"/>
    <w:rsid w:val="000902E1"/>
    <w:rsid w:val="00092C18"/>
    <w:rsid w:val="00093775"/>
    <w:rsid w:val="000A258B"/>
    <w:rsid w:val="000A2A3D"/>
    <w:rsid w:val="000A36BF"/>
    <w:rsid w:val="000A7967"/>
    <w:rsid w:val="000B7C69"/>
    <w:rsid w:val="000C2A00"/>
    <w:rsid w:val="000C4F82"/>
    <w:rsid w:val="000C5C6A"/>
    <w:rsid w:val="000D0D2D"/>
    <w:rsid w:val="000D4660"/>
    <w:rsid w:val="000D4EE8"/>
    <w:rsid w:val="000D7FF6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0AEF"/>
    <w:rsid w:val="00141331"/>
    <w:rsid w:val="00142052"/>
    <w:rsid w:val="00146F73"/>
    <w:rsid w:val="00147D83"/>
    <w:rsid w:val="00150968"/>
    <w:rsid w:val="001530D5"/>
    <w:rsid w:val="0016014A"/>
    <w:rsid w:val="001618D1"/>
    <w:rsid w:val="001619F5"/>
    <w:rsid w:val="00162047"/>
    <w:rsid w:val="00163446"/>
    <w:rsid w:val="00171086"/>
    <w:rsid w:val="001710C3"/>
    <w:rsid w:val="001744ED"/>
    <w:rsid w:val="001808C7"/>
    <w:rsid w:val="00181A96"/>
    <w:rsid w:val="001A0933"/>
    <w:rsid w:val="001A16F0"/>
    <w:rsid w:val="001A7531"/>
    <w:rsid w:val="001B36F2"/>
    <w:rsid w:val="001B65A0"/>
    <w:rsid w:val="001B7E8D"/>
    <w:rsid w:val="001C5E5D"/>
    <w:rsid w:val="001D4A3B"/>
    <w:rsid w:val="001D4ABA"/>
    <w:rsid w:val="001D6976"/>
    <w:rsid w:val="001E1FC9"/>
    <w:rsid w:val="001E3636"/>
    <w:rsid w:val="001E45F4"/>
    <w:rsid w:val="001E5570"/>
    <w:rsid w:val="001F412E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6350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72C56"/>
    <w:rsid w:val="00275D2B"/>
    <w:rsid w:val="002763B8"/>
    <w:rsid w:val="0027795B"/>
    <w:rsid w:val="002845B4"/>
    <w:rsid w:val="002871BE"/>
    <w:rsid w:val="0028754B"/>
    <w:rsid w:val="00293234"/>
    <w:rsid w:val="00295068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2123D"/>
    <w:rsid w:val="00324941"/>
    <w:rsid w:val="00330CF8"/>
    <w:rsid w:val="003408EE"/>
    <w:rsid w:val="003430BC"/>
    <w:rsid w:val="003451EF"/>
    <w:rsid w:val="00346BC8"/>
    <w:rsid w:val="00346F63"/>
    <w:rsid w:val="00351459"/>
    <w:rsid w:val="0035481B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D0833"/>
    <w:rsid w:val="003D1CE7"/>
    <w:rsid w:val="003D1F8E"/>
    <w:rsid w:val="003D7DF5"/>
    <w:rsid w:val="003E056E"/>
    <w:rsid w:val="003E0695"/>
    <w:rsid w:val="003E6F62"/>
    <w:rsid w:val="00404CA1"/>
    <w:rsid w:val="00407718"/>
    <w:rsid w:val="004112FF"/>
    <w:rsid w:val="00414FB8"/>
    <w:rsid w:val="00417E87"/>
    <w:rsid w:val="004219EB"/>
    <w:rsid w:val="004351E2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A52CF"/>
    <w:rsid w:val="004B4BA9"/>
    <w:rsid w:val="004B4DC1"/>
    <w:rsid w:val="004B60C2"/>
    <w:rsid w:val="004C177D"/>
    <w:rsid w:val="004C3850"/>
    <w:rsid w:val="004C49C6"/>
    <w:rsid w:val="004C7E66"/>
    <w:rsid w:val="004D004F"/>
    <w:rsid w:val="004E1D18"/>
    <w:rsid w:val="004E40E1"/>
    <w:rsid w:val="004E6DE4"/>
    <w:rsid w:val="004F47A1"/>
    <w:rsid w:val="004F49A1"/>
    <w:rsid w:val="005011C9"/>
    <w:rsid w:val="00501667"/>
    <w:rsid w:val="00501B0A"/>
    <w:rsid w:val="00504CB5"/>
    <w:rsid w:val="00507B8D"/>
    <w:rsid w:val="005115FE"/>
    <w:rsid w:val="00512B5A"/>
    <w:rsid w:val="00513403"/>
    <w:rsid w:val="0051354D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3AB6"/>
    <w:rsid w:val="005835AB"/>
    <w:rsid w:val="00584939"/>
    <w:rsid w:val="00585C97"/>
    <w:rsid w:val="0058703A"/>
    <w:rsid w:val="005913D6"/>
    <w:rsid w:val="0059147B"/>
    <w:rsid w:val="00595BB0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610E"/>
    <w:rsid w:val="005F2279"/>
    <w:rsid w:val="005F6DFB"/>
    <w:rsid w:val="005F7DE3"/>
    <w:rsid w:val="00600437"/>
    <w:rsid w:val="00601C08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5061B"/>
    <w:rsid w:val="00652353"/>
    <w:rsid w:val="006524C3"/>
    <w:rsid w:val="00652A6C"/>
    <w:rsid w:val="00654DEB"/>
    <w:rsid w:val="0066041C"/>
    <w:rsid w:val="00660B83"/>
    <w:rsid w:val="00661B45"/>
    <w:rsid w:val="0066711E"/>
    <w:rsid w:val="00670897"/>
    <w:rsid w:val="00672A2E"/>
    <w:rsid w:val="0067765F"/>
    <w:rsid w:val="006845D0"/>
    <w:rsid w:val="00690FA8"/>
    <w:rsid w:val="00691A77"/>
    <w:rsid w:val="00693C26"/>
    <w:rsid w:val="006944FB"/>
    <w:rsid w:val="006A0B03"/>
    <w:rsid w:val="006A1AB6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4E5E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30EA0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672B"/>
    <w:rsid w:val="00767213"/>
    <w:rsid w:val="00771EDA"/>
    <w:rsid w:val="007721B9"/>
    <w:rsid w:val="007722CC"/>
    <w:rsid w:val="00773330"/>
    <w:rsid w:val="00774D81"/>
    <w:rsid w:val="00774EBE"/>
    <w:rsid w:val="0077517B"/>
    <w:rsid w:val="00780046"/>
    <w:rsid w:val="0078244C"/>
    <w:rsid w:val="00792A82"/>
    <w:rsid w:val="00794B50"/>
    <w:rsid w:val="007A3834"/>
    <w:rsid w:val="007A6CBB"/>
    <w:rsid w:val="007A6EEE"/>
    <w:rsid w:val="007B02D5"/>
    <w:rsid w:val="007B4204"/>
    <w:rsid w:val="007C04B1"/>
    <w:rsid w:val="007C622A"/>
    <w:rsid w:val="007E1F19"/>
    <w:rsid w:val="007E6421"/>
    <w:rsid w:val="007E785F"/>
    <w:rsid w:val="007F0D07"/>
    <w:rsid w:val="007F1D9E"/>
    <w:rsid w:val="007F6B4E"/>
    <w:rsid w:val="0080783E"/>
    <w:rsid w:val="008131CD"/>
    <w:rsid w:val="00816AE3"/>
    <w:rsid w:val="0082115E"/>
    <w:rsid w:val="008239DC"/>
    <w:rsid w:val="00825F9A"/>
    <w:rsid w:val="008275E0"/>
    <w:rsid w:val="0083029F"/>
    <w:rsid w:val="008315BB"/>
    <w:rsid w:val="00831FA3"/>
    <w:rsid w:val="008343A6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B0EF9"/>
    <w:rsid w:val="008B1F20"/>
    <w:rsid w:val="008B4F62"/>
    <w:rsid w:val="008B64EB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1D83"/>
    <w:rsid w:val="00914653"/>
    <w:rsid w:val="0092252B"/>
    <w:rsid w:val="00924C13"/>
    <w:rsid w:val="00925E80"/>
    <w:rsid w:val="009261AE"/>
    <w:rsid w:val="0093402F"/>
    <w:rsid w:val="0093725F"/>
    <w:rsid w:val="00937740"/>
    <w:rsid w:val="0094291A"/>
    <w:rsid w:val="00943E3D"/>
    <w:rsid w:val="009460D7"/>
    <w:rsid w:val="00946EDA"/>
    <w:rsid w:val="0096285B"/>
    <w:rsid w:val="0096662C"/>
    <w:rsid w:val="00974ED2"/>
    <w:rsid w:val="00980D98"/>
    <w:rsid w:val="009831BB"/>
    <w:rsid w:val="00990E3B"/>
    <w:rsid w:val="00995CA8"/>
    <w:rsid w:val="0099782F"/>
    <w:rsid w:val="009A47C4"/>
    <w:rsid w:val="009B5043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91300"/>
    <w:rsid w:val="00A935B4"/>
    <w:rsid w:val="00A94AF3"/>
    <w:rsid w:val="00A9742A"/>
    <w:rsid w:val="00A97616"/>
    <w:rsid w:val="00AA1A52"/>
    <w:rsid w:val="00AA1DDA"/>
    <w:rsid w:val="00AA3022"/>
    <w:rsid w:val="00AA5422"/>
    <w:rsid w:val="00AA7A5C"/>
    <w:rsid w:val="00AB15AB"/>
    <w:rsid w:val="00AB3C17"/>
    <w:rsid w:val="00AB4A3B"/>
    <w:rsid w:val="00AB6E08"/>
    <w:rsid w:val="00AC1F33"/>
    <w:rsid w:val="00AC293B"/>
    <w:rsid w:val="00AC4561"/>
    <w:rsid w:val="00AD0C2A"/>
    <w:rsid w:val="00AD5DD3"/>
    <w:rsid w:val="00AD6F0D"/>
    <w:rsid w:val="00AD7A50"/>
    <w:rsid w:val="00AD7C4A"/>
    <w:rsid w:val="00AF0C91"/>
    <w:rsid w:val="00AF1050"/>
    <w:rsid w:val="00B01051"/>
    <w:rsid w:val="00B12F7B"/>
    <w:rsid w:val="00B16B7B"/>
    <w:rsid w:val="00B213D4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443C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6EE9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37AF"/>
    <w:rsid w:val="00C25782"/>
    <w:rsid w:val="00C3117C"/>
    <w:rsid w:val="00C346A8"/>
    <w:rsid w:val="00C3559B"/>
    <w:rsid w:val="00C36727"/>
    <w:rsid w:val="00C406A4"/>
    <w:rsid w:val="00C40F69"/>
    <w:rsid w:val="00C4314B"/>
    <w:rsid w:val="00C46891"/>
    <w:rsid w:val="00C478EA"/>
    <w:rsid w:val="00C522A6"/>
    <w:rsid w:val="00C636F2"/>
    <w:rsid w:val="00C754B8"/>
    <w:rsid w:val="00C85C7A"/>
    <w:rsid w:val="00C8797D"/>
    <w:rsid w:val="00C87AAB"/>
    <w:rsid w:val="00C9228B"/>
    <w:rsid w:val="00CA25C1"/>
    <w:rsid w:val="00CA3258"/>
    <w:rsid w:val="00CA44B6"/>
    <w:rsid w:val="00CA4B82"/>
    <w:rsid w:val="00CB0B6C"/>
    <w:rsid w:val="00CB4B78"/>
    <w:rsid w:val="00CB615B"/>
    <w:rsid w:val="00CB7ECB"/>
    <w:rsid w:val="00CC0888"/>
    <w:rsid w:val="00CC4F4A"/>
    <w:rsid w:val="00CC59EE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0B55"/>
    <w:rsid w:val="00D1251D"/>
    <w:rsid w:val="00D169B4"/>
    <w:rsid w:val="00D2011E"/>
    <w:rsid w:val="00D25828"/>
    <w:rsid w:val="00D278F2"/>
    <w:rsid w:val="00D302BA"/>
    <w:rsid w:val="00D40FF9"/>
    <w:rsid w:val="00D4129B"/>
    <w:rsid w:val="00D417B5"/>
    <w:rsid w:val="00D41CD6"/>
    <w:rsid w:val="00D6136D"/>
    <w:rsid w:val="00D67BB3"/>
    <w:rsid w:val="00D740B4"/>
    <w:rsid w:val="00D833D6"/>
    <w:rsid w:val="00D85F63"/>
    <w:rsid w:val="00D93476"/>
    <w:rsid w:val="00D93FF7"/>
    <w:rsid w:val="00D9571E"/>
    <w:rsid w:val="00D97CA1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2FB"/>
    <w:rsid w:val="00DC18CF"/>
    <w:rsid w:val="00DC4EC0"/>
    <w:rsid w:val="00DC7CD4"/>
    <w:rsid w:val="00DD35E8"/>
    <w:rsid w:val="00DD3AC9"/>
    <w:rsid w:val="00DD3FB7"/>
    <w:rsid w:val="00DD535B"/>
    <w:rsid w:val="00DE2AD2"/>
    <w:rsid w:val="00DE725E"/>
    <w:rsid w:val="00DF2B1F"/>
    <w:rsid w:val="00DF496A"/>
    <w:rsid w:val="00DF62FE"/>
    <w:rsid w:val="00E0249E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0719"/>
    <w:rsid w:val="00E44BD0"/>
    <w:rsid w:val="00E47DA9"/>
    <w:rsid w:val="00E51373"/>
    <w:rsid w:val="00E5204C"/>
    <w:rsid w:val="00E53F8D"/>
    <w:rsid w:val="00E547BD"/>
    <w:rsid w:val="00E54AD1"/>
    <w:rsid w:val="00E62CCF"/>
    <w:rsid w:val="00E72AF6"/>
    <w:rsid w:val="00E73885"/>
    <w:rsid w:val="00E74566"/>
    <w:rsid w:val="00E77C4B"/>
    <w:rsid w:val="00E80275"/>
    <w:rsid w:val="00E826E0"/>
    <w:rsid w:val="00E90839"/>
    <w:rsid w:val="00E93704"/>
    <w:rsid w:val="00EA5057"/>
    <w:rsid w:val="00EB190C"/>
    <w:rsid w:val="00EB1EA2"/>
    <w:rsid w:val="00EB23D6"/>
    <w:rsid w:val="00EB7585"/>
    <w:rsid w:val="00EC065C"/>
    <w:rsid w:val="00ED14D8"/>
    <w:rsid w:val="00ED4763"/>
    <w:rsid w:val="00ED7E58"/>
    <w:rsid w:val="00EF231B"/>
    <w:rsid w:val="00EF3200"/>
    <w:rsid w:val="00EF730B"/>
    <w:rsid w:val="00EF7A89"/>
    <w:rsid w:val="00F05CD8"/>
    <w:rsid w:val="00F110B4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3F52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3AF4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66DE2-611E-4487-96E2-ACE56482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0AEF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14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04CB5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504C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30</cp:revision>
  <dcterms:created xsi:type="dcterms:W3CDTF">2015-05-04T16:10:00Z</dcterms:created>
  <dcterms:modified xsi:type="dcterms:W3CDTF">2020-10-29T18:55:00Z</dcterms:modified>
</cp:coreProperties>
</file>