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F5" w:rsidRPr="00B81FA0" w:rsidRDefault="00BF11F5" w:rsidP="00BF11F5">
      <w:pPr>
        <w:spacing w:after="120" w:line="240" w:lineRule="auto"/>
        <w:rPr>
          <w:rFonts w:ascii="Times New Roman" w:hAnsi="Times New Roman"/>
          <w:b/>
          <w:sz w:val="24"/>
          <w:szCs w:val="24"/>
        </w:rPr>
      </w:pPr>
      <w:r w:rsidRPr="00B81FA0">
        <w:rPr>
          <w:rFonts w:ascii="Times New Roman" w:hAnsi="Times New Roman"/>
          <w:b/>
          <w:sz w:val="24"/>
          <w:szCs w:val="24"/>
        </w:rPr>
        <w:t>Revizyon Takip Tablosu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6"/>
        <w:gridCol w:w="1237"/>
        <w:gridCol w:w="6473"/>
      </w:tblGrid>
      <w:tr w:rsidR="00BF11F5" w:rsidRPr="00BF0D39" w:rsidTr="009526D0">
        <w:trPr>
          <w:trHeight w:val="340"/>
          <w:jc w:val="center"/>
        </w:trPr>
        <w:tc>
          <w:tcPr>
            <w:tcW w:w="1806" w:type="dxa"/>
            <w:vAlign w:val="center"/>
          </w:tcPr>
          <w:p w:rsidR="00BF11F5" w:rsidRPr="009C49BC" w:rsidRDefault="00BF11F5" w:rsidP="009526D0">
            <w:pPr>
              <w:spacing w:after="120" w:line="240" w:lineRule="auto"/>
              <w:ind w:right="-70"/>
              <w:jc w:val="center"/>
              <w:rPr>
                <w:rFonts w:ascii="Times New Roman" w:hAnsi="Times New Roman"/>
                <w:b/>
                <w:sz w:val="24"/>
                <w:szCs w:val="24"/>
              </w:rPr>
            </w:pPr>
            <w:r w:rsidRPr="009C49BC">
              <w:rPr>
                <w:rFonts w:ascii="Times New Roman" w:hAnsi="Times New Roman"/>
                <w:b/>
                <w:sz w:val="24"/>
                <w:szCs w:val="24"/>
              </w:rPr>
              <w:t>REVİZYON NO</w:t>
            </w:r>
          </w:p>
        </w:tc>
        <w:tc>
          <w:tcPr>
            <w:tcW w:w="1237" w:type="dxa"/>
            <w:vAlign w:val="center"/>
          </w:tcPr>
          <w:p w:rsidR="00BF11F5" w:rsidRPr="009C49BC" w:rsidRDefault="00BF11F5" w:rsidP="009526D0">
            <w:pPr>
              <w:spacing w:after="120" w:line="240" w:lineRule="auto"/>
              <w:ind w:left="-5" w:firstLine="5"/>
              <w:jc w:val="center"/>
              <w:rPr>
                <w:rFonts w:ascii="Times New Roman" w:hAnsi="Times New Roman"/>
                <w:b/>
                <w:sz w:val="24"/>
                <w:szCs w:val="24"/>
              </w:rPr>
            </w:pPr>
            <w:r w:rsidRPr="009C49BC">
              <w:rPr>
                <w:rFonts w:ascii="Times New Roman" w:hAnsi="Times New Roman"/>
                <w:b/>
                <w:sz w:val="24"/>
                <w:szCs w:val="24"/>
              </w:rPr>
              <w:t>TARİH</w:t>
            </w:r>
          </w:p>
        </w:tc>
        <w:tc>
          <w:tcPr>
            <w:tcW w:w="6473" w:type="dxa"/>
            <w:vAlign w:val="center"/>
          </w:tcPr>
          <w:p w:rsidR="00BF11F5" w:rsidRPr="009C49BC" w:rsidRDefault="00BF11F5" w:rsidP="009526D0">
            <w:pPr>
              <w:spacing w:after="120" w:line="240" w:lineRule="auto"/>
              <w:rPr>
                <w:rFonts w:ascii="Times New Roman" w:hAnsi="Times New Roman"/>
                <w:b/>
                <w:sz w:val="24"/>
                <w:szCs w:val="24"/>
              </w:rPr>
            </w:pPr>
            <w:r w:rsidRPr="009C49BC">
              <w:rPr>
                <w:rFonts w:ascii="Times New Roman" w:hAnsi="Times New Roman"/>
                <w:b/>
                <w:sz w:val="24"/>
                <w:szCs w:val="24"/>
              </w:rPr>
              <w:t>AÇIKLAMA</w:t>
            </w:r>
          </w:p>
        </w:tc>
      </w:tr>
      <w:tr w:rsidR="00BF11F5" w:rsidRPr="00BF0D39" w:rsidTr="009526D0">
        <w:trPr>
          <w:trHeight w:val="340"/>
          <w:jc w:val="center"/>
        </w:trPr>
        <w:tc>
          <w:tcPr>
            <w:tcW w:w="1806"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00</w:t>
            </w:r>
          </w:p>
        </w:tc>
        <w:tc>
          <w:tcPr>
            <w:tcW w:w="1237" w:type="dxa"/>
            <w:vAlign w:val="center"/>
          </w:tcPr>
          <w:p w:rsidR="00BF11F5" w:rsidRPr="00BF0D39" w:rsidRDefault="00BF11F5" w:rsidP="009526D0">
            <w:pPr>
              <w:spacing w:after="120" w:line="240" w:lineRule="auto"/>
              <w:ind w:right="-70"/>
              <w:rPr>
                <w:rFonts w:ascii="Times New Roman" w:hAnsi="Times New Roman"/>
                <w:sz w:val="24"/>
                <w:szCs w:val="24"/>
              </w:rPr>
            </w:pPr>
            <w:r>
              <w:rPr>
                <w:rFonts w:ascii="Times New Roman" w:hAnsi="Times New Roman"/>
                <w:sz w:val="24"/>
                <w:szCs w:val="24"/>
              </w:rPr>
              <w:t>19.04.2012</w:t>
            </w:r>
          </w:p>
        </w:tc>
        <w:tc>
          <w:tcPr>
            <w:tcW w:w="6473" w:type="dxa"/>
            <w:vAlign w:val="center"/>
          </w:tcPr>
          <w:p w:rsidR="00BF11F5" w:rsidRPr="00BF0D39" w:rsidRDefault="00BF11F5" w:rsidP="009526D0">
            <w:pPr>
              <w:spacing w:after="120" w:line="240" w:lineRule="auto"/>
              <w:rPr>
                <w:rFonts w:ascii="Times New Roman" w:hAnsi="Times New Roman"/>
                <w:sz w:val="24"/>
                <w:szCs w:val="24"/>
              </w:rPr>
            </w:pPr>
            <w:r>
              <w:rPr>
                <w:rFonts w:ascii="Times New Roman" w:hAnsi="Times New Roman"/>
                <w:sz w:val="24"/>
                <w:szCs w:val="24"/>
              </w:rPr>
              <w:t>İlk yayın.</w:t>
            </w:r>
          </w:p>
        </w:tc>
      </w:tr>
      <w:tr w:rsidR="003A5CA0" w:rsidRPr="00BF0D39" w:rsidTr="009526D0">
        <w:trPr>
          <w:trHeight w:val="340"/>
          <w:jc w:val="center"/>
        </w:trPr>
        <w:tc>
          <w:tcPr>
            <w:tcW w:w="1806" w:type="dxa"/>
            <w:vAlign w:val="center"/>
          </w:tcPr>
          <w:p w:rsidR="003A5CA0" w:rsidRDefault="003A5CA0" w:rsidP="009526D0">
            <w:pPr>
              <w:spacing w:after="120" w:line="240" w:lineRule="auto"/>
              <w:rPr>
                <w:rFonts w:ascii="Times New Roman" w:hAnsi="Times New Roman"/>
                <w:sz w:val="24"/>
                <w:szCs w:val="24"/>
              </w:rPr>
            </w:pPr>
            <w:r>
              <w:rPr>
                <w:rFonts w:ascii="Times New Roman" w:hAnsi="Times New Roman"/>
                <w:sz w:val="24"/>
                <w:szCs w:val="24"/>
              </w:rPr>
              <w:t>01</w:t>
            </w:r>
          </w:p>
        </w:tc>
        <w:tc>
          <w:tcPr>
            <w:tcW w:w="1237" w:type="dxa"/>
            <w:vAlign w:val="center"/>
          </w:tcPr>
          <w:p w:rsidR="003A5CA0" w:rsidRDefault="003A5CA0" w:rsidP="009526D0">
            <w:pPr>
              <w:spacing w:after="120" w:line="240" w:lineRule="auto"/>
              <w:ind w:right="-70"/>
              <w:rPr>
                <w:rFonts w:ascii="Times New Roman" w:hAnsi="Times New Roman"/>
                <w:sz w:val="24"/>
                <w:szCs w:val="24"/>
              </w:rPr>
            </w:pPr>
            <w:r>
              <w:rPr>
                <w:rFonts w:ascii="Times New Roman" w:hAnsi="Times New Roman"/>
                <w:sz w:val="24"/>
                <w:szCs w:val="24"/>
              </w:rPr>
              <w:t>01.11.2013</w:t>
            </w:r>
          </w:p>
        </w:tc>
        <w:tc>
          <w:tcPr>
            <w:tcW w:w="6473" w:type="dxa"/>
            <w:vAlign w:val="center"/>
          </w:tcPr>
          <w:p w:rsidR="003A5CA0" w:rsidRDefault="003A5CA0" w:rsidP="009526D0">
            <w:pPr>
              <w:spacing w:after="120" w:line="240" w:lineRule="auto"/>
              <w:rPr>
                <w:rFonts w:ascii="Times New Roman" w:hAnsi="Times New Roman"/>
                <w:sz w:val="24"/>
                <w:szCs w:val="24"/>
              </w:rPr>
            </w:pPr>
            <w:r>
              <w:rPr>
                <w:rFonts w:ascii="Times New Roman" w:hAnsi="Times New Roman"/>
                <w:sz w:val="24"/>
                <w:szCs w:val="24"/>
                <w:lang w:eastAsia="tr-TR"/>
              </w:rPr>
              <w:t>Kodlama sistemi değişti.</w:t>
            </w:r>
          </w:p>
        </w:tc>
      </w:tr>
      <w:tr w:rsidR="004B6D8C" w:rsidRPr="00BF0D39" w:rsidTr="009526D0">
        <w:trPr>
          <w:trHeight w:val="340"/>
          <w:jc w:val="center"/>
        </w:trPr>
        <w:tc>
          <w:tcPr>
            <w:tcW w:w="1806" w:type="dxa"/>
            <w:vAlign w:val="center"/>
          </w:tcPr>
          <w:p w:rsidR="004B6D8C" w:rsidRDefault="004B6D8C" w:rsidP="009526D0">
            <w:pPr>
              <w:spacing w:after="120" w:line="240" w:lineRule="auto"/>
              <w:rPr>
                <w:rFonts w:ascii="Times New Roman" w:hAnsi="Times New Roman"/>
                <w:sz w:val="24"/>
                <w:szCs w:val="24"/>
              </w:rPr>
            </w:pPr>
            <w:r>
              <w:rPr>
                <w:rFonts w:ascii="Times New Roman" w:hAnsi="Times New Roman"/>
                <w:sz w:val="24"/>
                <w:szCs w:val="24"/>
              </w:rPr>
              <w:t>03</w:t>
            </w:r>
          </w:p>
        </w:tc>
        <w:tc>
          <w:tcPr>
            <w:tcW w:w="1237" w:type="dxa"/>
            <w:vAlign w:val="center"/>
          </w:tcPr>
          <w:p w:rsidR="004B6D8C" w:rsidRDefault="004B6D8C" w:rsidP="009526D0">
            <w:pPr>
              <w:spacing w:after="120" w:line="240" w:lineRule="auto"/>
              <w:ind w:right="-70"/>
              <w:rPr>
                <w:rFonts w:ascii="Times New Roman" w:hAnsi="Times New Roman"/>
                <w:sz w:val="24"/>
                <w:szCs w:val="24"/>
              </w:rPr>
            </w:pPr>
            <w:r>
              <w:rPr>
                <w:rFonts w:ascii="Times New Roman" w:hAnsi="Times New Roman"/>
                <w:sz w:val="24"/>
                <w:szCs w:val="24"/>
              </w:rPr>
              <w:t>12.11.2020</w:t>
            </w:r>
          </w:p>
        </w:tc>
        <w:tc>
          <w:tcPr>
            <w:tcW w:w="6473" w:type="dxa"/>
            <w:vAlign w:val="center"/>
          </w:tcPr>
          <w:p w:rsidR="004B6D8C" w:rsidRDefault="004B6D8C" w:rsidP="009526D0">
            <w:pPr>
              <w:spacing w:after="120" w:line="240" w:lineRule="auto"/>
              <w:rPr>
                <w:rFonts w:ascii="Times New Roman" w:hAnsi="Times New Roman"/>
                <w:sz w:val="24"/>
                <w:szCs w:val="24"/>
                <w:lang w:eastAsia="tr-TR"/>
              </w:rPr>
            </w:pPr>
            <w:r>
              <w:rPr>
                <w:rFonts w:ascii="Times New Roman" w:hAnsi="Times New Roman"/>
                <w:sz w:val="24"/>
                <w:szCs w:val="24"/>
                <w:lang w:eastAsia="tr-TR"/>
              </w:rPr>
              <w:t>Genel Revizyon</w:t>
            </w:r>
          </w:p>
        </w:tc>
      </w:tr>
    </w:tbl>
    <w:p w:rsidR="00BF11F5" w:rsidRDefault="00BF11F5" w:rsidP="00CD0E48">
      <w:pPr>
        <w:pStyle w:val="AralkYok"/>
        <w:rPr>
          <w:rFonts w:ascii="Times New Roman" w:hAnsi="Times New Roman"/>
          <w:sz w:val="24"/>
          <w:szCs w:val="24"/>
        </w:rPr>
      </w:pPr>
    </w:p>
    <w:p w:rsidR="00BF11F5" w:rsidRPr="00784F76" w:rsidRDefault="00BF11F5" w:rsidP="00CD0E48">
      <w:pPr>
        <w:pStyle w:val="AralkYok"/>
        <w:rPr>
          <w:rFonts w:ascii="Times New Roman" w:hAnsi="Times New Roman"/>
          <w:sz w:val="24"/>
          <w:szCs w:val="24"/>
        </w:rPr>
      </w:pPr>
    </w:p>
    <w:p w:rsidR="00717A00" w:rsidRPr="000831D0" w:rsidRDefault="00784F76" w:rsidP="00AD66FC">
      <w:pPr>
        <w:pStyle w:val="AralkYok"/>
        <w:jc w:val="both"/>
        <w:rPr>
          <w:rFonts w:ascii="Times New Roman" w:hAnsi="Times New Roman"/>
          <w:sz w:val="24"/>
          <w:szCs w:val="24"/>
        </w:rPr>
      </w:pPr>
      <w:r w:rsidRPr="00784F76">
        <w:rPr>
          <w:rFonts w:ascii="Times New Roman" w:eastAsia="Times New Roman" w:hAnsi="Times New Roman"/>
          <w:b/>
          <w:color w:val="000000"/>
          <w:sz w:val="24"/>
          <w:szCs w:val="24"/>
          <w:lang w:eastAsia="tr-TR"/>
        </w:rPr>
        <w:t>1</w:t>
      </w:r>
      <w:r w:rsidR="000831D0">
        <w:rPr>
          <w:rFonts w:ascii="Times New Roman" w:eastAsia="Times New Roman" w:hAnsi="Times New Roman"/>
          <w:b/>
          <w:color w:val="000000"/>
          <w:sz w:val="24"/>
          <w:szCs w:val="24"/>
          <w:lang w:eastAsia="tr-TR"/>
        </w:rPr>
        <w:t>.</w:t>
      </w:r>
      <w:r w:rsidRPr="00784F76">
        <w:rPr>
          <w:rFonts w:ascii="Times New Roman" w:eastAsia="Times New Roman" w:hAnsi="Times New Roman"/>
          <w:b/>
          <w:color w:val="000000"/>
          <w:sz w:val="24"/>
          <w:szCs w:val="24"/>
          <w:lang w:eastAsia="tr-TR"/>
        </w:rPr>
        <w:t xml:space="preserve"> </w:t>
      </w:r>
      <w:r w:rsidR="00717A00" w:rsidRPr="00784F76">
        <w:rPr>
          <w:rFonts w:ascii="Times New Roman" w:eastAsia="Times New Roman" w:hAnsi="Times New Roman"/>
          <w:b/>
          <w:color w:val="000000"/>
          <w:sz w:val="24"/>
          <w:szCs w:val="24"/>
          <w:lang w:eastAsia="tr-TR"/>
        </w:rPr>
        <w:t>AMAÇ</w:t>
      </w:r>
      <w:r w:rsidR="000831D0">
        <w:rPr>
          <w:rFonts w:ascii="Times New Roman" w:eastAsia="Times New Roman" w:hAnsi="Times New Roman"/>
          <w:b/>
          <w:color w:val="000000"/>
          <w:sz w:val="24"/>
          <w:szCs w:val="24"/>
          <w:lang w:eastAsia="tr-TR"/>
        </w:rPr>
        <w:t xml:space="preserve">    </w:t>
      </w:r>
    </w:p>
    <w:p w:rsidR="00717A00" w:rsidRDefault="00717A00" w:rsidP="00AD66FC">
      <w:pPr>
        <w:pStyle w:val="AralkYok"/>
        <w:jc w:val="both"/>
        <w:rPr>
          <w:rFonts w:ascii="Times New Roman" w:hAnsi="Times New Roman"/>
          <w:sz w:val="24"/>
          <w:szCs w:val="24"/>
          <w:lang w:eastAsia="tr-TR"/>
        </w:rPr>
      </w:pPr>
      <w:r w:rsidRPr="00784F76">
        <w:rPr>
          <w:rFonts w:ascii="Times New Roman" w:hAnsi="Times New Roman"/>
          <w:sz w:val="24"/>
          <w:szCs w:val="24"/>
          <w:lang w:eastAsia="tr-TR"/>
        </w:rPr>
        <w:t xml:space="preserve">Bu görev tanımının amacı; </w:t>
      </w:r>
      <w:r w:rsidR="00B27B14" w:rsidRPr="00784F76">
        <w:rPr>
          <w:rFonts w:ascii="Times New Roman" w:hAnsi="Times New Roman"/>
          <w:sz w:val="24"/>
          <w:szCs w:val="24"/>
          <w:lang w:eastAsia="tr-TR"/>
        </w:rPr>
        <w:t>Yıldız Teknik Üniversitesi Kampüslerind</w:t>
      </w:r>
      <w:r w:rsidR="00AD66FC">
        <w:rPr>
          <w:rFonts w:ascii="Times New Roman" w:hAnsi="Times New Roman"/>
          <w:sz w:val="24"/>
          <w:szCs w:val="24"/>
          <w:lang w:eastAsia="tr-TR"/>
        </w:rPr>
        <w:t xml:space="preserve">e bulunan giriş kapılarında </w:t>
      </w:r>
      <w:r w:rsidR="00B27B14" w:rsidRPr="00784F76">
        <w:rPr>
          <w:rFonts w:ascii="Times New Roman" w:hAnsi="Times New Roman"/>
          <w:sz w:val="24"/>
          <w:szCs w:val="24"/>
          <w:lang w:eastAsia="tr-TR"/>
        </w:rPr>
        <w:t xml:space="preserve">Özel Güvenlik Personeli tarafından uygulanacak </w:t>
      </w:r>
      <w:r w:rsidR="00DC4755">
        <w:rPr>
          <w:rFonts w:ascii="Times New Roman" w:hAnsi="Times New Roman"/>
          <w:sz w:val="24"/>
          <w:szCs w:val="24"/>
          <w:lang w:eastAsia="tr-TR"/>
        </w:rPr>
        <w:t xml:space="preserve">güvenlik kontrollerini </w:t>
      </w:r>
      <w:r w:rsidR="00B27B14" w:rsidRPr="00784F76">
        <w:rPr>
          <w:rFonts w:ascii="Times New Roman" w:hAnsi="Times New Roman"/>
          <w:sz w:val="24"/>
          <w:szCs w:val="24"/>
          <w:lang w:eastAsia="tr-TR"/>
        </w:rPr>
        <w:t>belirlenme</w:t>
      </w:r>
      <w:r w:rsidR="00DC4755">
        <w:rPr>
          <w:rFonts w:ascii="Times New Roman" w:hAnsi="Times New Roman"/>
          <w:sz w:val="24"/>
          <w:szCs w:val="24"/>
          <w:lang w:eastAsia="tr-TR"/>
        </w:rPr>
        <w:t>ktir.</w:t>
      </w:r>
    </w:p>
    <w:p w:rsidR="00AD66FC" w:rsidRPr="00784F76" w:rsidRDefault="00AD66FC" w:rsidP="00AD66FC">
      <w:pPr>
        <w:pStyle w:val="AralkYok"/>
        <w:jc w:val="both"/>
        <w:rPr>
          <w:rFonts w:ascii="Times New Roman" w:hAnsi="Times New Roman"/>
          <w:sz w:val="24"/>
          <w:szCs w:val="24"/>
          <w:lang w:eastAsia="tr-TR"/>
        </w:rPr>
      </w:pPr>
    </w:p>
    <w:p w:rsidR="00717A00" w:rsidRPr="00784F76" w:rsidRDefault="000831D0" w:rsidP="00AD66FC">
      <w:pPr>
        <w:pStyle w:val="AralkYok"/>
        <w:jc w:val="both"/>
        <w:rPr>
          <w:rFonts w:ascii="Times New Roman" w:hAnsi="Times New Roman"/>
          <w:b/>
          <w:sz w:val="24"/>
          <w:szCs w:val="24"/>
          <w:lang w:eastAsia="tr-TR"/>
        </w:rPr>
      </w:pPr>
      <w:r>
        <w:rPr>
          <w:rFonts w:ascii="Times New Roman" w:hAnsi="Times New Roman"/>
          <w:b/>
          <w:sz w:val="24"/>
          <w:szCs w:val="24"/>
          <w:lang w:eastAsia="tr-TR"/>
        </w:rPr>
        <w:t>2.</w:t>
      </w:r>
      <w:r w:rsidR="00784F76" w:rsidRPr="00784F76">
        <w:rPr>
          <w:rFonts w:ascii="Times New Roman" w:hAnsi="Times New Roman"/>
          <w:b/>
          <w:sz w:val="24"/>
          <w:szCs w:val="24"/>
          <w:lang w:eastAsia="tr-TR"/>
        </w:rPr>
        <w:t xml:space="preserve"> </w:t>
      </w:r>
      <w:r w:rsidR="00717A00" w:rsidRPr="00784F76">
        <w:rPr>
          <w:rFonts w:ascii="Times New Roman" w:hAnsi="Times New Roman"/>
          <w:b/>
          <w:sz w:val="24"/>
          <w:szCs w:val="24"/>
          <w:lang w:eastAsia="tr-TR"/>
        </w:rPr>
        <w:t>KAPSAM</w:t>
      </w:r>
      <w:r>
        <w:rPr>
          <w:rFonts w:ascii="Times New Roman" w:hAnsi="Times New Roman"/>
          <w:b/>
          <w:sz w:val="24"/>
          <w:szCs w:val="24"/>
          <w:lang w:eastAsia="tr-TR"/>
        </w:rPr>
        <w:t xml:space="preserve"> </w:t>
      </w:r>
      <w:r w:rsidR="00717A00" w:rsidRPr="00784F76">
        <w:rPr>
          <w:rFonts w:ascii="Times New Roman" w:hAnsi="Times New Roman"/>
          <w:b/>
          <w:sz w:val="24"/>
          <w:szCs w:val="24"/>
          <w:lang w:eastAsia="tr-TR"/>
        </w:rPr>
        <w:t xml:space="preserve">  </w:t>
      </w:r>
    </w:p>
    <w:p w:rsidR="00717A00" w:rsidRPr="00784F76" w:rsidRDefault="00717A00" w:rsidP="00AD66FC">
      <w:pPr>
        <w:pStyle w:val="AralkYok"/>
        <w:jc w:val="both"/>
        <w:rPr>
          <w:rFonts w:ascii="Times New Roman" w:hAnsi="Times New Roman"/>
          <w:sz w:val="24"/>
          <w:szCs w:val="24"/>
          <w:lang w:eastAsia="tr-TR"/>
        </w:rPr>
      </w:pPr>
      <w:r w:rsidRPr="00784F76">
        <w:rPr>
          <w:rFonts w:ascii="Times New Roman" w:hAnsi="Times New Roman"/>
          <w:sz w:val="24"/>
          <w:szCs w:val="24"/>
          <w:lang w:eastAsia="tr-TR"/>
        </w:rPr>
        <w:t xml:space="preserve">Bu görev tanımı T.C. Yıldız Teknik Üniversitesi’nde Hizmet Şartnamesi gereği görev yapan, Özel Güvenlik </w:t>
      </w:r>
      <w:r w:rsidR="00B27B14" w:rsidRPr="00784F76">
        <w:rPr>
          <w:rFonts w:ascii="Times New Roman" w:hAnsi="Times New Roman"/>
          <w:sz w:val="24"/>
          <w:szCs w:val="24"/>
          <w:lang w:eastAsia="tr-TR"/>
        </w:rPr>
        <w:t>Personelini kapsar</w:t>
      </w:r>
      <w:r w:rsidR="00590D57">
        <w:rPr>
          <w:rFonts w:ascii="Times New Roman" w:hAnsi="Times New Roman"/>
          <w:sz w:val="24"/>
          <w:szCs w:val="24"/>
          <w:lang w:eastAsia="tr-TR"/>
        </w:rPr>
        <w:t>.</w:t>
      </w:r>
    </w:p>
    <w:p w:rsidR="00784F76" w:rsidRPr="00784F76" w:rsidRDefault="00784F76" w:rsidP="00AD66FC">
      <w:pPr>
        <w:pStyle w:val="AralkYok"/>
        <w:ind w:left="142" w:hanging="142"/>
        <w:jc w:val="both"/>
        <w:rPr>
          <w:rFonts w:ascii="Times New Roman" w:hAnsi="Times New Roman"/>
          <w:sz w:val="24"/>
          <w:szCs w:val="24"/>
          <w:lang w:eastAsia="tr-TR"/>
        </w:rPr>
      </w:pPr>
    </w:p>
    <w:p w:rsidR="00784F76" w:rsidRDefault="00784F76" w:rsidP="00AD66FC">
      <w:pPr>
        <w:pStyle w:val="AralkYok"/>
        <w:ind w:left="142" w:hanging="142"/>
        <w:jc w:val="both"/>
        <w:rPr>
          <w:rFonts w:ascii="Times New Roman" w:hAnsi="Times New Roman"/>
          <w:b/>
          <w:sz w:val="24"/>
          <w:szCs w:val="24"/>
          <w:lang w:eastAsia="tr-TR"/>
        </w:rPr>
      </w:pPr>
      <w:r w:rsidRPr="000831D0">
        <w:rPr>
          <w:rFonts w:ascii="Times New Roman" w:hAnsi="Times New Roman"/>
          <w:b/>
          <w:sz w:val="24"/>
          <w:szCs w:val="24"/>
          <w:lang w:eastAsia="tr-TR"/>
        </w:rPr>
        <w:t>3- TANIMLAR</w:t>
      </w:r>
    </w:p>
    <w:p w:rsidR="00AD66FC" w:rsidRDefault="00AD66FC" w:rsidP="00AD66FC">
      <w:pPr>
        <w:pStyle w:val="AralkYok"/>
        <w:ind w:left="142" w:hanging="142"/>
        <w:jc w:val="both"/>
        <w:rPr>
          <w:rFonts w:ascii="Times New Roman" w:hAnsi="Times New Roman"/>
          <w:sz w:val="24"/>
          <w:szCs w:val="24"/>
          <w:lang w:eastAsia="tr-TR"/>
        </w:rPr>
      </w:pPr>
      <w:r>
        <w:rPr>
          <w:rFonts w:ascii="Times New Roman" w:hAnsi="Times New Roman"/>
          <w:sz w:val="24"/>
          <w:szCs w:val="24"/>
          <w:lang w:eastAsia="tr-TR"/>
        </w:rPr>
        <w:t xml:space="preserve">Bu talimatta tanımlanacak bir </w:t>
      </w:r>
      <w:r w:rsidR="00590D57">
        <w:rPr>
          <w:rFonts w:ascii="Times New Roman" w:hAnsi="Times New Roman"/>
          <w:sz w:val="24"/>
          <w:szCs w:val="24"/>
          <w:lang w:eastAsia="tr-TR"/>
        </w:rPr>
        <w:t>terim</w:t>
      </w:r>
      <w:r>
        <w:rPr>
          <w:rFonts w:ascii="Times New Roman" w:hAnsi="Times New Roman"/>
          <w:sz w:val="24"/>
          <w:szCs w:val="24"/>
          <w:lang w:eastAsia="tr-TR"/>
        </w:rPr>
        <w:t xml:space="preserve"> bulunmamaktadır.</w:t>
      </w:r>
    </w:p>
    <w:p w:rsidR="00AD66FC" w:rsidRDefault="00AD66FC" w:rsidP="00AD66FC">
      <w:pPr>
        <w:pStyle w:val="AralkYok"/>
        <w:ind w:left="142" w:hanging="142"/>
        <w:jc w:val="both"/>
        <w:rPr>
          <w:rFonts w:ascii="Times New Roman" w:hAnsi="Times New Roman"/>
          <w:sz w:val="24"/>
          <w:szCs w:val="24"/>
          <w:lang w:eastAsia="tr-TR"/>
        </w:rPr>
      </w:pPr>
    </w:p>
    <w:p w:rsidR="00AD66FC" w:rsidRDefault="00AD66FC" w:rsidP="00AD66FC">
      <w:pPr>
        <w:pStyle w:val="AralkYok"/>
        <w:ind w:left="142" w:hanging="142"/>
        <w:jc w:val="both"/>
        <w:rPr>
          <w:rFonts w:ascii="Times New Roman" w:hAnsi="Times New Roman"/>
          <w:b/>
          <w:sz w:val="24"/>
          <w:szCs w:val="24"/>
          <w:lang w:eastAsia="tr-TR"/>
        </w:rPr>
      </w:pPr>
      <w:r w:rsidRPr="00AD66FC">
        <w:rPr>
          <w:rFonts w:ascii="Times New Roman" w:hAnsi="Times New Roman"/>
          <w:b/>
          <w:sz w:val="24"/>
          <w:szCs w:val="24"/>
          <w:lang w:eastAsia="tr-TR"/>
        </w:rPr>
        <w:t>4. SORUMLULUKLAR</w:t>
      </w:r>
    </w:p>
    <w:p w:rsidR="00AD66FC" w:rsidRDefault="00AD66FC" w:rsidP="00AD66FC">
      <w:pPr>
        <w:pStyle w:val="AralkYok"/>
        <w:ind w:left="142" w:hanging="142"/>
        <w:jc w:val="both"/>
        <w:rPr>
          <w:rFonts w:ascii="Times New Roman" w:hAnsi="Times New Roman"/>
          <w:sz w:val="24"/>
          <w:szCs w:val="24"/>
          <w:lang w:eastAsia="tr-TR"/>
        </w:rPr>
      </w:pPr>
      <w:r w:rsidRPr="00AD66FC">
        <w:rPr>
          <w:rFonts w:ascii="Times New Roman" w:hAnsi="Times New Roman"/>
          <w:sz w:val="24"/>
          <w:szCs w:val="24"/>
          <w:lang w:eastAsia="tr-TR"/>
        </w:rPr>
        <w:t>Bu talimatı</w:t>
      </w:r>
      <w:r>
        <w:rPr>
          <w:rFonts w:ascii="Times New Roman" w:hAnsi="Times New Roman"/>
          <w:sz w:val="24"/>
          <w:szCs w:val="24"/>
          <w:lang w:eastAsia="tr-TR"/>
        </w:rPr>
        <w:t>n hazırlanmasından ve uygulanmasından Koruma ve Güvenlik Müdürü sorumludur.</w:t>
      </w:r>
    </w:p>
    <w:p w:rsidR="00AD66FC" w:rsidRDefault="00AD66FC" w:rsidP="00AD66FC">
      <w:pPr>
        <w:pStyle w:val="AralkYok"/>
        <w:ind w:left="142" w:hanging="142"/>
        <w:jc w:val="both"/>
        <w:rPr>
          <w:rFonts w:ascii="Times New Roman" w:hAnsi="Times New Roman"/>
          <w:sz w:val="24"/>
          <w:szCs w:val="24"/>
          <w:lang w:eastAsia="tr-TR"/>
        </w:rPr>
      </w:pPr>
    </w:p>
    <w:p w:rsidR="00AD66FC" w:rsidRPr="00AD66FC" w:rsidRDefault="00AD66FC" w:rsidP="00AD66FC">
      <w:pPr>
        <w:pStyle w:val="AralkYok"/>
        <w:ind w:left="142" w:hanging="142"/>
        <w:jc w:val="both"/>
        <w:rPr>
          <w:rFonts w:ascii="Times New Roman" w:hAnsi="Times New Roman"/>
          <w:b/>
          <w:sz w:val="24"/>
          <w:szCs w:val="24"/>
          <w:lang w:eastAsia="tr-TR"/>
        </w:rPr>
      </w:pPr>
      <w:r w:rsidRPr="00AD66FC">
        <w:rPr>
          <w:rFonts w:ascii="Times New Roman" w:hAnsi="Times New Roman"/>
          <w:b/>
          <w:sz w:val="24"/>
          <w:szCs w:val="24"/>
          <w:lang w:eastAsia="tr-TR"/>
        </w:rPr>
        <w:t>5. UYGULAMA</w:t>
      </w:r>
    </w:p>
    <w:p w:rsidR="000831D0" w:rsidRPr="000831D0" w:rsidRDefault="000831D0" w:rsidP="00AD66FC">
      <w:pPr>
        <w:pStyle w:val="AralkYok"/>
        <w:ind w:left="142" w:hanging="142"/>
        <w:jc w:val="both"/>
        <w:rPr>
          <w:rFonts w:ascii="Times New Roman" w:hAnsi="Times New Roman"/>
          <w:b/>
          <w:sz w:val="24"/>
          <w:szCs w:val="24"/>
          <w:lang w:eastAsia="tr-TR"/>
        </w:rPr>
      </w:pPr>
    </w:p>
    <w:p w:rsidR="00717A00" w:rsidRDefault="00AD66FC" w:rsidP="00AD66FC">
      <w:pPr>
        <w:pStyle w:val="AralkYok"/>
        <w:jc w:val="both"/>
        <w:rPr>
          <w:rFonts w:ascii="Times New Roman" w:hAnsi="Times New Roman"/>
          <w:b/>
          <w:sz w:val="24"/>
          <w:szCs w:val="24"/>
          <w:lang w:eastAsia="tr-TR"/>
        </w:rPr>
      </w:pPr>
      <w:r>
        <w:rPr>
          <w:rFonts w:ascii="Times New Roman" w:hAnsi="Times New Roman"/>
          <w:b/>
          <w:sz w:val="24"/>
          <w:szCs w:val="24"/>
          <w:lang w:eastAsia="tr-TR"/>
        </w:rPr>
        <w:t>5</w:t>
      </w:r>
      <w:r w:rsidR="000831D0" w:rsidRPr="000831D0">
        <w:rPr>
          <w:rFonts w:ascii="Times New Roman" w:hAnsi="Times New Roman"/>
          <w:b/>
          <w:sz w:val="24"/>
          <w:szCs w:val="24"/>
          <w:lang w:eastAsia="tr-TR"/>
        </w:rPr>
        <w:t xml:space="preserve">.1 </w:t>
      </w:r>
      <w:r w:rsidR="00717A00" w:rsidRPr="000831D0">
        <w:rPr>
          <w:rFonts w:ascii="Times New Roman" w:hAnsi="Times New Roman"/>
          <w:b/>
          <w:sz w:val="24"/>
          <w:szCs w:val="24"/>
          <w:lang w:eastAsia="tr-TR"/>
        </w:rPr>
        <w:t xml:space="preserve"> </w:t>
      </w:r>
      <w:r w:rsidR="000831D0">
        <w:rPr>
          <w:rFonts w:ascii="Times New Roman" w:hAnsi="Times New Roman"/>
          <w:b/>
          <w:sz w:val="24"/>
          <w:szCs w:val="24"/>
          <w:lang w:eastAsia="tr-TR"/>
        </w:rPr>
        <w:t>Genel;</w:t>
      </w:r>
    </w:p>
    <w:p w:rsidR="000F27CF" w:rsidRDefault="000F27CF" w:rsidP="000F27CF">
      <w:pPr>
        <w:tabs>
          <w:tab w:val="left" w:pos="284"/>
        </w:tabs>
        <w:spacing w:after="0" w:line="240" w:lineRule="auto"/>
        <w:jc w:val="both"/>
        <w:rPr>
          <w:rFonts w:ascii="Times New Roman" w:hAnsi="Times New Roman"/>
          <w:b/>
          <w:sz w:val="24"/>
          <w:szCs w:val="24"/>
          <w:lang w:eastAsia="tr-TR"/>
        </w:rPr>
      </w:pP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hAnsi="Times New Roman"/>
          <w:sz w:val="24"/>
          <w:szCs w:val="24"/>
          <w:lang w:eastAsia="tr-TR"/>
        </w:rPr>
        <w:t xml:space="preserve"> </w:t>
      </w:r>
      <w:r w:rsidRPr="000F27CF">
        <w:rPr>
          <w:rFonts w:ascii="Times New Roman" w:eastAsiaTheme="minorEastAsia" w:hAnsi="Times New Roman"/>
          <w:sz w:val="24"/>
          <w:szCs w:val="24"/>
          <w:lang w:eastAsia="tr-TR"/>
        </w:rPr>
        <w:t xml:space="preserve">  1. Personel bu noktanın emniyet ve sosyal anlamda kritik bir alan olduğunun bilinci ile görev yapacaktır. Bu noktada giriş yapan kişileri karşılayan ilk kişi olduğunu daima aklında tutacak ve davranışlarını bu çizgide sürdürecektir.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2. Giriş yapacak olan herkese güler yüzlü, saygılı, nazik aynı zamanda resmi tavır ile yaklaşacak ve görevi ile ilgili konularda kesinlikle yardımcı olacaktır. Bilmediği bir husus var ise bir üst amirine soracak, fikir yürüterek karşı tarafa yanlış ya da yanıltıcı bilgi verme olasılığına girmeyecektir.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3. Nöbet süresince genel görev talimatlarına riayet edecektir.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4. Nöbet kulübesinde sivil kıyafet ile bulunulması, kulübe içerisine işi olmayan bir kimsenin, resmi kıyafetli dahi olsa ikinci bir kişinin bulunması yasaktır. </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5. 08.00-10.00, 15.00-18.00 saatleri arasında istirahat ve mola yapılmaz. Zorunlu bir durum ortaya çıkmış ise vardiya sorumlusundan izin alınması gereklidir.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6. Görevli görev alanında İş Sağlığı ve Güvenliği kurallarından sorumludur. Bu kurallara titizlikte riayet edilecektir. Vardiya süresince nöbet noktasının temizlik ve tertibinden o an içeride olan nöbetçi sorumludur, görevi devir alan nöbetçi gerekli kontrollerini yapmış ve bu sorumluğu kabul etmiş sayılacaktır.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7. İstirahat ve mola için gösterilen alan ve saat haricinde hiçbir şekilde yiyecek içecek tüketilmesi ve tütün mamulü kullanılması yasaktır.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lastRenderedPageBreak/>
        <w:t xml:space="preserve">   8. Nöbet düzeni birinci vardiya için: 2 kişi çıkış yönü kontrol noktasında, en az 2 kişi yaya turnikeler karşısında, 1 kişi nöbet kulübesi içerisinde 1 kişi ön tarafta araç yönlendirmede diğer personeller araç kontrolü yapacaktır. İkinci vardiya 1 kişi çıkışta, 2 kişi turnikelerde, 1 kişi moboda diğer personeller araç kontrolünde olacaktır. Üçüncü vardiyada 1 kişi moboda ve araç çıkıştan sorumlu olacak, 1 kişi araç kontrolünde olacaktır. </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9. Vardiya sorumlusunun aksi bir emri olmadıkça nöbet noktasında personel sayısına bakılmaksızın güvenlik kulübesinde 1 kişi bulunacaktır. Görev bölgesi planlamasında elverişsiz hava koşullarının oluşması durumunda ise diziliş ve değişim sürelerini vardiya sorumlusu belirleyecektir.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10. Hususi oto ve ticari taksi girişlerinde aşağıda belirtilen hususlar uygulanacaktır.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a-) Araç Giriş Kartını geçiş esnasında sürücüye göre ön cam sol alt tarafta bulundurmayan her araç durdurulacak ve araç giriş kartının olup, olmadığı sorulacaktır. Sürücünün bu kartı yoksa gerekli şekilde bilgilendirilmesi yapılacak ve yönetim kadrosu haricinde her kim olursa olsun ziyaretçi işlemi uygulanacaktır.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b-) Ticari taksi içerisinde gelen kimselerden muhakkak YEK Kartını göstermesi istenecek, şüpheli durumlarda eşleştirme maksadı ile ikinci bir kimlik belgesi talep edilecektir. Aksi durumda aracın girişine izin verilmeyecektir.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c-) 1 No’lu kapıdan giriş yapıp diğer kapıdan çıkmak istediğini söyleyen ve araç ruhsatını vermek istemeyen sürücüye bunun mümkün olmadığı söylenecektir. Sürücüye ruhsatın alınması ve plaka eşleşmesi gerektiği, hangi kapıdan giriş yaptı ise aynı kapıdan çıkmak zorunda olduğu aktarılacaktır. Bu konudaki ısrar halinde vardiya amirine bilgi verilecektir.</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d-) Durumundan kuvvetle muhtemel şüphe edilen araçların bagaj kontrolleri yapılacaktır. Buna izin vermeyen sürücü içeriye alınmaz ve vardiya amirine derhal bilgi verilir. Aracın iç kısmında arama yapılamaz.</w:t>
      </w:r>
    </w:p>
    <w:p w:rsidR="000F27CF" w:rsidRPr="000F27CF" w:rsidRDefault="000F27CF" w:rsidP="000F27CF">
      <w:pPr>
        <w:tabs>
          <w:tab w:val="left" w:pos="284"/>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e-) Polis araçları askeri araçlar ve zabıta araçları ile diğer tüm resmi araçlar durdurularak geliş sebepleriyle ilgili bilgi alınacak, gerekiyorsa refakat edilerek yardımcı olunacak, durumdan amirlik derhal haberdar edilecektir. Bu araçlara ziyaretçi işlemi uygulanmaz. Giriş yapan ambulans ve itfaiye araçları da durdurulacak ve muhakkak refakat edilecektir.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11. Geçiş yapmak isteyen tüm yayalar, yaya geçiş turnikesinden alınacaktır. YEK kartı bulunmayan öğrenciler İETT pasoları ile başka bir kimliği karşılaştırılarak doğrulandıktan sonra turnikeden alınacaklardır. Ziyaretçiler ise kendilerine verilen ziyaretçi kartı ile geçiş yapacaktır. Kaçak giriş yapmaya teşebbüs eden kimseler ilk önce nazik bir tavırla ikaz edilerek dışarı çıkarılacak ve normal şekilde geçmesi istenecektir. Buna rağmen tutumunda ısrarcı olan kimseler hakkında tutanak tutulacak, durumunda şüphe var ise içeri alınmayacaklardır.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12. Araç sürücüsü olmayan ziyaretçilerden telefon numarası istenmeyecektir, bir araç içerisinde birden fazla ziyaretçi var ise sadece araç kaydının yapılması yeterlidir.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13. Lojmanlar bölgesinde ikamet eden ailelere gelen ziyaretçiler teyit alınmadan içeri alınmayacaktır.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14. Saat 23:00 sonrasında öğretim görevlileri ve yöneticiler haricinde görev ya da çalışma izni olmayan hiç kimse içeri alınmayacak, hava karardıktan sonra aydınlatmaların açık olması sağlanacaktır.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15. Kampüs içerisine girecek olan İETT ve ÖHÖ Toplu taşıma araçları, Teknopark’a hizmet veren servis araçları ve Cevizlibağ - Kampüs arasında çalışmakta olan ring servisleri kesinlikle araç giriş bariyerleri dışarısında durdurulacak ve araçlar boşaltılacak, içerisinde bulunan herkesin yaya geçiş </w:t>
      </w:r>
      <w:r w:rsidRPr="000F27CF">
        <w:rPr>
          <w:rFonts w:ascii="Times New Roman" w:eastAsiaTheme="minorEastAsia" w:hAnsi="Times New Roman"/>
          <w:sz w:val="24"/>
          <w:szCs w:val="24"/>
          <w:lang w:eastAsia="tr-TR"/>
        </w:rPr>
        <w:lastRenderedPageBreak/>
        <w:t>turnikelerinden geçmesi sağlanacaktır. Araç giriş bölümünden yayaların geçmesine müsaade edilmeyecektir.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16. Kampüse giriş için gelen tır, kamyon, kamyonetler ve taşıyıcı tüm araçlar durdurularak taşımakta oldukları yük kontrol edilecek, daha önceden amirlikçe bilgisi verilmeyen yük yine amirlikçe teyit edilmediği sürece içeri alınmayacaktır. Sürdürülmekte olan inşaatlara gelen beton taşıyıcı ve mikser tabir edilen araçlar yolun dikey eğimli oluşu ve duruş ardından kalkışlardaki eylemsizlik nedeniyle yola beton dökülmesi riski ile bu kapsam dışına alınmıştır. Bu araçların amirlikçe durdurulmasına yönelik bir emir yok ise direk geçişleri sağlanacak ancak araç kayıt defterine kayıtları muntazaman alınacaktır.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17. Nöbet kulübesinde olan dâhili telefon görev dışı kullanımlar dışında kesinlikle meşgul edilmeyecektir. Nöbet yeri içerisinde ve civarında çöp kovası vb. maksatlı kutu bulundurulmayacaktır.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18. Nöbet bölgesinde bulunabilecek ve kampüsümüzde yaygın olarak yaşam sürdüren hayvanlar bu bölgeden hayvan haklarına saygılı biçimde, hayvanın can güvenliğine zarar verilmeden uzaklaştırılacaktır.</w:t>
      </w:r>
    </w:p>
    <w:p w:rsidR="000F27CF" w:rsidRPr="000F27CF" w:rsidRDefault="000F27CF" w:rsidP="000F27CF">
      <w:pPr>
        <w:tabs>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19. Görev bölgesi devir teslim defteri ve zimmet defterinin uygun şekilde muhafaza edilerek her vardiya başlama bitiminde imzalanarak devredilecektir.</w:t>
      </w:r>
    </w:p>
    <w:p w:rsidR="000F27CF" w:rsidRPr="000F27CF" w:rsidRDefault="000F27CF" w:rsidP="000F27CF">
      <w:pPr>
        <w:tabs>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20. Görev bölgesine gelen buluntular emanete alınmalı, bilgisi merkeze bildirildikten sonra vardiya bitiminde amirlik ofisine getirilmelidir. Vardiya esnasında buluntular sahiplerine teslim edildiği durumda teslim tutanağı karşılığı teslim edilmelidir.  Bölgede emanet alınmayacak, bulundurulmayacaktır.</w:t>
      </w:r>
    </w:p>
    <w:p w:rsidR="000F27CF" w:rsidRPr="000F27CF" w:rsidRDefault="000F27CF" w:rsidP="000F27CF">
      <w:pPr>
        <w:tabs>
          <w:tab w:val="left" w:pos="284"/>
          <w:tab w:val="left" w:pos="426"/>
        </w:tabs>
        <w:spacing w:after="0" w:line="240" w:lineRule="auto"/>
        <w:jc w:val="both"/>
        <w:rPr>
          <w:rFonts w:ascii="Times New Roman" w:eastAsiaTheme="minorEastAsia" w:hAnsi="Times New Roman"/>
          <w:sz w:val="24"/>
          <w:szCs w:val="24"/>
          <w:lang w:eastAsia="tr-TR"/>
        </w:rPr>
      </w:pPr>
      <w:r w:rsidRPr="000F27CF">
        <w:rPr>
          <w:rFonts w:ascii="Times New Roman" w:eastAsiaTheme="minorEastAsia" w:hAnsi="Times New Roman"/>
          <w:sz w:val="24"/>
          <w:szCs w:val="24"/>
          <w:lang w:eastAsia="tr-TR"/>
        </w:rPr>
        <w:t xml:space="preserve">   22. Bu talimatta belirtilmeyen hususlarda bir üst amirin emrine danışılacaktır.</w:t>
      </w:r>
    </w:p>
    <w:p w:rsidR="00717A00" w:rsidRPr="000F27CF" w:rsidRDefault="00717A00" w:rsidP="00AD66FC">
      <w:pPr>
        <w:ind w:left="142"/>
        <w:jc w:val="both"/>
        <w:rPr>
          <w:rFonts w:ascii="Times New Roman" w:hAnsi="Times New Roman"/>
          <w:sz w:val="24"/>
          <w:szCs w:val="24"/>
        </w:rPr>
      </w:pPr>
    </w:p>
    <w:p w:rsidR="00E430B4" w:rsidRDefault="00E430B4" w:rsidP="00AD66FC">
      <w:pPr>
        <w:ind w:left="142"/>
        <w:jc w:val="both"/>
        <w:rPr>
          <w:rFonts w:ascii="Times New Roman" w:hAnsi="Times New Roman"/>
          <w:b/>
          <w:sz w:val="24"/>
          <w:szCs w:val="24"/>
        </w:rPr>
      </w:pPr>
      <w:r w:rsidRPr="00E430B4">
        <w:rPr>
          <w:rFonts w:ascii="Times New Roman" w:hAnsi="Times New Roman"/>
          <w:b/>
          <w:sz w:val="24"/>
          <w:szCs w:val="24"/>
        </w:rPr>
        <w:t xml:space="preserve">6. İLGİLİ </w:t>
      </w:r>
      <w:r>
        <w:rPr>
          <w:rFonts w:ascii="Times New Roman" w:hAnsi="Times New Roman"/>
          <w:b/>
          <w:sz w:val="24"/>
          <w:szCs w:val="24"/>
        </w:rPr>
        <w:t>DOKÜMAN</w:t>
      </w:r>
    </w:p>
    <w:p w:rsidR="00E430B4" w:rsidRPr="00E430B4" w:rsidRDefault="00E430B4" w:rsidP="00AD66FC">
      <w:pPr>
        <w:ind w:left="142"/>
        <w:jc w:val="both"/>
        <w:rPr>
          <w:rFonts w:ascii="Times New Roman" w:hAnsi="Times New Roman"/>
          <w:sz w:val="24"/>
          <w:szCs w:val="24"/>
        </w:rPr>
      </w:pPr>
      <w:r>
        <w:rPr>
          <w:rFonts w:ascii="Times New Roman" w:hAnsi="Times New Roman"/>
          <w:sz w:val="24"/>
          <w:szCs w:val="24"/>
        </w:rPr>
        <w:t>İlgili doküman bulunmamaktadır.</w:t>
      </w:r>
    </w:p>
    <w:p w:rsidR="00CD0E48" w:rsidRPr="00784F76" w:rsidRDefault="00CD0E48" w:rsidP="00AD66FC">
      <w:pPr>
        <w:pStyle w:val="AralkYok"/>
        <w:jc w:val="both"/>
        <w:rPr>
          <w:rFonts w:ascii="Times New Roman" w:hAnsi="Times New Roman"/>
          <w:sz w:val="24"/>
          <w:szCs w:val="24"/>
        </w:rPr>
      </w:pPr>
    </w:p>
    <w:sectPr w:rsidR="00CD0E48" w:rsidRPr="00784F76"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8D" w:rsidRDefault="00EA668D" w:rsidP="00151E02">
      <w:pPr>
        <w:spacing w:after="0" w:line="240" w:lineRule="auto"/>
      </w:pPr>
      <w:r>
        <w:separator/>
      </w:r>
    </w:p>
  </w:endnote>
  <w:endnote w:type="continuationSeparator" w:id="0">
    <w:p w:rsidR="00EA668D" w:rsidRDefault="00EA668D"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98" w:rsidRDefault="00AC79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D269E4" w:rsidRPr="00AE6D38" w:rsidTr="00AE6D38">
      <w:trPr>
        <w:trHeight w:val="1002"/>
      </w:trPr>
      <w:tc>
        <w:tcPr>
          <w:tcW w:w="3259" w:type="dxa"/>
          <w:shd w:val="clear" w:color="auto" w:fill="auto"/>
        </w:tcPr>
        <w:p w:rsidR="00D269E4" w:rsidRPr="00AE6D38" w:rsidRDefault="00AC7998" w:rsidP="00D269E4">
          <w:pPr>
            <w:pStyle w:val="Altbilgi"/>
            <w:jc w:val="center"/>
          </w:pPr>
          <w:r>
            <w:t>Sedat ASLAN</w:t>
          </w:r>
        </w:p>
      </w:tc>
      <w:tc>
        <w:tcPr>
          <w:tcW w:w="3259" w:type="dxa"/>
          <w:shd w:val="clear" w:color="auto" w:fill="auto"/>
        </w:tcPr>
        <w:p w:rsidR="00D269E4" w:rsidRDefault="00D269E4" w:rsidP="00D269E4">
          <w:pPr>
            <w:pStyle w:val="Altbilgi"/>
            <w:jc w:val="center"/>
          </w:pPr>
          <w:r>
            <w:t>Prof. Dr. İhsan KAYA</w:t>
          </w:r>
        </w:p>
        <w:p w:rsidR="00D269E4" w:rsidRDefault="00D269E4" w:rsidP="00D269E4">
          <w:pPr>
            <w:pStyle w:val="Altbilgi"/>
            <w:jc w:val="center"/>
          </w:pPr>
        </w:p>
      </w:tc>
      <w:tc>
        <w:tcPr>
          <w:tcW w:w="3371" w:type="dxa"/>
          <w:shd w:val="clear" w:color="auto" w:fill="auto"/>
        </w:tcPr>
        <w:p w:rsidR="00D269E4" w:rsidRDefault="00AC7998" w:rsidP="00D269E4">
          <w:pPr>
            <w:pStyle w:val="Altbilgi"/>
            <w:jc w:val="center"/>
          </w:pPr>
          <w:r>
            <w:t>Sedat ASLAN</w:t>
          </w:r>
        </w:p>
        <w:p w:rsidR="00D269E4" w:rsidRDefault="00D269E4" w:rsidP="00D269E4">
          <w:pPr>
            <w:pStyle w:val="Altbilgi"/>
            <w:jc w:val="center"/>
          </w:pPr>
        </w:p>
      </w:tc>
    </w:tr>
  </w:tbl>
  <w:p w:rsidR="00151E02" w:rsidRPr="00151E02" w:rsidRDefault="00CD0E48">
    <w:pPr>
      <w:pStyle w:val="Altbilgi"/>
      <w:rPr>
        <w:rFonts w:ascii="Arial" w:hAnsi="Arial" w:cs="Arial"/>
        <w:i/>
        <w:sz w:val="16"/>
      </w:rPr>
    </w:pPr>
    <w:r>
      <w:rPr>
        <w:rFonts w:ascii="Arial" w:hAnsi="Arial" w:cs="Arial"/>
        <w:i/>
        <w:sz w:val="16"/>
      </w:rPr>
      <w:t xml:space="preserve"> </w:t>
    </w:r>
    <w:r w:rsidR="00BF11F5">
      <w:rPr>
        <w:rFonts w:ascii="Arial" w:hAnsi="Arial" w:cs="Arial"/>
        <w:i/>
        <w:sz w:val="16"/>
      </w:rPr>
      <w:t>(</w:t>
    </w:r>
    <w:r w:rsidR="00BF11F5" w:rsidRPr="00151E02">
      <w:rPr>
        <w:rFonts w:ascii="Arial" w:hAnsi="Arial" w:cs="Arial"/>
        <w:i/>
        <w:sz w:val="16"/>
      </w:rPr>
      <w:t xml:space="preserve">Form No : </w:t>
    </w:r>
    <w:r w:rsidR="00AD1B3C">
      <w:rPr>
        <w:rFonts w:ascii="Arial" w:hAnsi="Arial" w:cs="Arial"/>
        <w:i/>
        <w:sz w:val="16"/>
      </w:rPr>
      <w:t>FR-146</w:t>
    </w:r>
    <w:r w:rsidR="00BF11F5" w:rsidRPr="00151E02">
      <w:rPr>
        <w:rFonts w:ascii="Arial" w:hAnsi="Arial" w:cs="Arial"/>
        <w:i/>
        <w:sz w:val="16"/>
      </w:rPr>
      <w:t>;</w:t>
    </w:r>
    <w:r w:rsidR="00BF11F5">
      <w:rPr>
        <w:rFonts w:ascii="Arial" w:hAnsi="Arial" w:cs="Arial"/>
        <w:i/>
        <w:sz w:val="16"/>
      </w:rPr>
      <w:t xml:space="preserve">Revizyon Tarihi:01.03.2012; </w:t>
    </w:r>
    <w:r w:rsidR="00BF11F5" w:rsidRPr="00151E02">
      <w:rPr>
        <w:rFonts w:ascii="Arial" w:hAnsi="Arial" w:cs="Arial"/>
        <w:i/>
        <w:sz w:val="16"/>
      </w:rPr>
      <w:t>Revizyon</w:t>
    </w:r>
    <w:r w:rsidR="001E3776">
      <w:rPr>
        <w:rFonts w:ascii="Arial" w:hAnsi="Arial" w:cs="Arial"/>
        <w:i/>
        <w:sz w:val="16"/>
      </w:rPr>
      <w:t xml:space="preserve"> No</w:t>
    </w:r>
    <w:r w:rsidR="00BF11F5" w:rsidRPr="00151E02">
      <w:rPr>
        <w:rFonts w:ascii="Arial" w:hAnsi="Arial" w:cs="Arial"/>
        <w:i/>
        <w:sz w:val="16"/>
      </w:rPr>
      <w:t>:00</w:t>
    </w:r>
    <w:r w:rsidR="00BF11F5">
      <w:rPr>
        <w:rFonts w:ascii="Arial" w:hAnsi="Arial" w:cs="Arial"/>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98" w:rsidRDefault="00AC79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8D" w:rsidRDefault="00EA668D" w:rsidP="00151E02">
      <w:pPr>
        <w:spacing w:after="0" w:line="240" w:lineRule="auto"/>
      </w:pPr>
      <w:r>
        <w:separator/>
      </w:r>
    </w:p>
  </w:footnote>
  <w:footnote w:type="continuationSeparator" w:id="0">
    <w:p w:rsidR="00EA668D" w:rsidRDefault="00EA668D"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98" w:rsidRDefault="00AC79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B57386" w:rsidP="00AE6D38">
          <w:pPr>
            <w:pStyle w:val="stbilgi"/>
            <w:jc w:val="center"/>
            <w:rPr>
              <w:rFonts w:ascii="Arial" w:hAnsi="Arial" w:cs="Arial"/>
            </w:rPr>
          </w:pPr>
          <w:r>
            <w:rPr>
              <w:rFonts w:ascii="Arial" w:hAnsi="Arial" w:cs="Arial"/>
              <w:noProof/>
              <w:lang w:eastAsia="tr-TR"/>
            </w:rPr>
            <w:drawing>
              <wp:inline distT="0" distB="0" distL="0" distR="0" wp14:anchorId="325D8DF0" wp14:editId="4A1B00E3">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5F6C4D" w:rsidRPr="00AE6D38" w:rsidRDefault="00250652" w:rsidP="00717A00">
          <w:pPr>
            <w:pStyle w:val="stbilgi"/>
            <w:jc w:val="center"/>
            <w:rPr>
              <w:rFonts w:ascii="Arial" w:hAnsi="Arial" w:cs="Arial"/>
              <w:b/>
            </w:rPr>
          </w:pPr>
          <w:r>
            <w:rPr>
              <w:rFonts w:ascii="Arial" w:hAnsi="Arial" w:cs="Arial"/>
              <w:b/>
              <w:sz w:val="28"/>
            </w:rPr>
            <w:t xml:space="preserve">GİRİŞ KAPISI </w:t>
          </w:r>
          <w:r w:rsidR="00DC4755">
            <w:rPr>
              <w:rFonts w:ascii="Arial" w:hAnsi="Arial" w:cs="Arial"/>
              <w:b/>
              <w:sz w:val="28"/>
            </w:rPr>
            <w:t xml:space="preserve">GÜVENLİK KONTROL </w:t>
          </w:r>
          <w:r>
            <w:rPr>
              <w:rFonts w:ascii="Arial" w:hAnsi="Arial" w:cs="Arial"/>
              <w:b/>
              <w:sz w:val="28"/>
            </w:rPr>
            <w:t>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77364A" w:rsidP="00B41ACB">
          <w:pPr>
            <w:pStyle w:val="stbilgi"/>
            <w:rPr>
              <w:rFonts w:ascii="Arial" w:hAnsi="Arial" w:cs="Arial"/>
              <w:b/>
              <w:sz w:val="18"/>
            </w:rPr>
          </w:pPr>
          <w:r>
            <w:rPr>
              <w:rFonts w:ascii="Arial" w:hAnsi="Arial" w:cs="Arial"/>
              <w:b/>
              <w:sz w:val="18"/>
            </w:rPr>
            <w:t>T</w:t>
          </w:r>
          <w:r w:rsidR="00B41ACB">
            <w:rPr>
              <w:rFonts w:ascii="Arial" w:hAnsi="Arial" w:cs="Arial"/>
              <w:b/>
              <w:sz w:val="18"/>
            </w:rPr>
            <w:t>L</w:t>
          </w:r>
          <w:r>
            <w:rPr>
              <w:rFonts w:ascii="Arial" w:hAnsi="Arial" w:cs="Arial"/>
              <w:b/>
              <w:sz w:val="18"/>
            </w:rPr>
            <w:t>-</w:t>
          </w:r>
          <w:r w:rsidR="00B41ACB">
            <w:rPr>
              <w:rFonts w:ascii="Arial" w:hAnsi="Arial" w:cs="Arial"/>
              <w:b/>
              <w:sz w:val="18"/>
            </w:rPr>
            <w:t>025</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BF11F5" w:rsidP="00151E02">
          <w:pPr>
            <w:pStyle w:val="stbilgi"/>
            <w:rPr>
              <w:rFonts w:ascii="Arial" w:hAnsi="Arial" w:cs="Arial"/>
              <w:b/>
              <w:sz w:val="18"/>
            </w:rPr>
          </w:pPr>
          <w:r>
            <w:rPr>
              <w:rFonts w:ascii="Arial" w:hAnsi="Arial" w:cs="Arial"/>
              <w:b/>
              <w:sz w:val="18"/>
            </w:rPr>
            <w:t>19.04.2012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4B6D8C" w:rsidP="00151E02">
          <w:pPr>
            <w:pStyle w:val="stbilgi"/>
            <w:rPr>
              <w:rFonts w:ascii="Arial" w:hAnsi="Arial" w:cs="Arial"/>
              <w:b/>
              <w:sz w:val="18"/>
            </w:rPr>
          </w:pPr>
          <w:r>
            <w:rPr>
              <w:rFonts w:ascii="Arial" w:hAnsi="Arial" w:cs="Arial"/>
              <w:b/>
              <w:sz w:val="18"/>
            </w:rPr>
            <w:t>12</w:t>
          </w:r>
          <w:bookmarkStart w:id="0" w:name="_GoBack"/>
          <w:bookmarkEnd w:id="0"/>
          <w:r w:rsidR="00AC7998">
            <w:rPr>
              <w:rFonts w:ascii="Arial" w:hAnsi="Arial" w:cs="Arial"/>
              <w:b/>
              <w:sz w:val="18"/>
            </w:rPr>
            <w:t>.11.2020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AC7998" w:rsidP="00151E02">
          <w:pPr>
            <w:pStyle w:val="stbilgi"/>
            <w:rPr>
              <w:rFonts w:ascii="Arial" w:hAnsi="Arial" w:cs="Arial"/>
              <w:b/>
              <w:sz w:val="18"/>
            </w:rPr>
          </w:pPr>
          <w:r>
            <w:rPr>
              <w:rFonts w:ascii="Arial" w:hAnsi="Arial" w:cs="Arial"/>
              <w:b/>
              <w:sz w:val="18"/>
            </w:rPr>
            <w:t>03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8319C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4B6D8C">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EA668D">
            <w:fldChar w:fldCharType="begin"/>
          </w:r>
          <w:r w:rsidR="00EA668D">
            <w:instrText xml:space="preserve"> NUMPAGES   \* MERGEFORMAT </w:instrText>
          </w:r>
          <w:r w:rsidR="00EA668D">
            <w:fldChar w:fldCharType="separate"/>
          </w:r>
          <w:r w:rsidR="004B6D8C" w:rsidRPr="004B6D8C">
            <w:rPr>
              <w:rFonts w:ascii="Arial" w:hAnsi="Arial" w:cs="Arial"/>
              <w:b/>
              <w:noProof/>
              <w:sz w:val="18"/>
            </w:rPr>
            <w:t>3</w:t>
          </w:r>
          <w:r w:rsidR="00EA668D">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98" w:rsidRDefault="00AC79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734F4"/>
    <w:multiLevelType w:val="hybridMultilevel"/>
    <w:tmpl w:val="AB880E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E627AC"/>
    <w:multiLevelType w:val="hybridMultilevel"/>
    <w:tmpl w:val="6BD2D4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44578"/>
    <w:rsid w:val="000468E0"/>
    <w:rsid w:val="000831D0"/>
    <w:rsid w:val="00083E34"/>
    <w:rsid w:val="000B20E8"/>
    <w:rsid w:val="000F27CF"/>
    <w:rsid w:val="001009F7"/>
    <w:rsid w:val="001378E6"/>
    <w:rsid w:val="00151E02"/>
    <w:rsid w:val="001B34F1"/>
    <w:rsid w:val="001E3776"/>
    <w:rsid w:val="00250652"/>
    <w:rsid w:val="00267AC4"/>
    <w:rsid w:val="00285F9C"/>
    <w:rsid w:val="002D0935"/>
    <w:rsid w:val="00352B90"/>
    <w:rsid w:val="00382CFF"/>
    <w:rsid w:val="003A57FA"/>
    <w:rsid w:val="003A5CA0"/>
    <w:rsid w:val="004019DB"/>
    <w:rsid w:val="004440D1"/>
    <w:rsid w:val="004B6D8C"/>
    <w:rsid w:val="00525A21"/>
    <w:rsid w:val="00551052"/>
    <w:rsid w:val="00590D57"/>
    <w:rsid w:val="005D226E"/>
    <w:rsid w:val="005F6C4D"/>
    <w:rsid w:val="00644603"/>
    <w:rsid w:val="00666341"/>
    <w:rsid w:val="006C0472"/>
    <w:rsid w:val="00717A00"/>
    <w:rsid w:val="007275B3"/>
    <w:rsid w:val="00764F96"/>
    <w:rsid w:val="0077364A"/>
    <w:rsid w:val="00784F76"/>
    <w:rsid w:val="007E164D"/>
    <w:rsid w:val="00806FBF"/>
    <w:rsid w:val="008256AA"/>
    <w:rsid w:val="008319C6"/>
    <w:rsid w:val="00891472"/>
    <w:rsid w:val="008F0CA4"/>
    <w:rsid w:val="0090742B"/>
    <w:rsid w:val="00907CF8"/>
    <w:rsid w:val="00A2517F"/>
    <w:rsid w:val="00A51B1C"/>
    <w:rsid w:val="00A55FE2"/>
    <w:rsid w:val="00A977A5"/>
    <w:rsid w:val="00AB2A89"/>
    <w:rsid w:val="00AC7266"/>
    <w:rsid w:val="00AC7998"/>
    <w:rsid w:val="00AD15CA"/>
    <w:rsid w:val="00AD1B3C"/>
    <w:rsid w:val="00AD66FC"/>
    <w:rsid w:val="00AE6D38"/>
    <w:rsid w:val="00AE73A9"/>
    <w:rsid w:val="00B14256"/>
    <w:rsid w:val="00B27B14"/>
    <w:rsid w:val="00B41ACB"/>
    <w:rsid w:val="00B47EC6"/>
    <w:rsid w:val="00B57386"/>
    <w:rsid w:val="00BF11F5"/>
    <w:rsid w:val="00C40CC8"/>
    <w:rsid w:val="00C57DCE"/>
    <w:rsid w:val="00CD0E48"/>
    <w:rsid w:val="00CD3CAE"/>
    <w:rsid w:val="00D269E4"/>
    <w:rsid w:val="00D810DC"/>
    <w:rsid w:val="00DC4755"/>
    <w:rsid w:val="00E430B4"/>
    <w:rsid w:val="00E6716D"/>
    <w:rsid w:val="00EA668D"/>
    <w:rsid w:val="00EF05BD"/>
    <w:rsid w:val="00F36AB1"/>
    <w:rsid w:val="00F84710"/>
    <w:rsid w:val="00FC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241E9-1341-4FBB-ACC2-C90409EC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71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A039-CDEA-4915-9B30-831CBA80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cp:revision>
  <cp:lastPrinted>2012-04-19T16:21:00Z</cp:lastPrinted>
  <dcterms:created xsi:type="dcterms:W3CDTF">2020-11-25T11:32:00Z</dcterms:created>
  <dcterms:modified xsi:type="dcterms:W3CDTF">2020-11-25T11:32:00Z</dcterms:modified>
</cp:coreProperties>
</file>