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D602" w14:textId="4FA763B1" w:rsidR="00F609BC" w:rsidRDefault="00A735AE" w:rsidP="00131747">
      <w:pPr>
        <w:pStyle w:val="NormalWeb"/>
        <w:spacing w:line="360" w:lineRule="auto"/>
        <w:jc w:val="center"/>
        <w:rPr>
          <w:b/>
        </w:rPr>
      </w:pPr>
      <w:r w:rsidRPr="00602E99">
        <w:rPr>
          <w:noProof/>
        </w:rPr>
        <w:drawing>
          <wp:inline distT="0" distB="0" distL="0" distR="0" wp14:anchorId="63A8568A" wp14:editId="4C0CD2C9">
            <wp:extent cx="717550" cy="717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p w14:paraId="31E74D4B" w14:textId="31BE9F45" w:rsidR="0045149C" w:rsidRPr="005F10B9" w:rsidRDefault="0045149C" w:rsidP="00131747">
      <w:pPr>
        <w:pStyle w:val="NormalWeb"/>
        <w:spacing w:line="360" w:lineRule="auto"/>
        <w:jc w:val="center"/>
        <w:rPr>
          <w:b/>
        </w:rPr>
      </w:pPr>
      <w:r w:rsidRPr="005F10B9">
        <w:rPr>
          <w:b/>
        </w:rPr>
        <w:t>YILDIZ TEKNİK ÜNİVERSİTESİ</w:t>
      </w:r>
    </w:p>
    <w:p w14:paraId="118D114A" w14:textId="77777777" w:rsidR="0045149C" w:rsidRPr="005F10B9" w:rsidRDefault="0045149C" w:rsidP="00131747">
      <w:pPr>
        <w:pStyle w:val="NormalWeb"/>
        <w:spacing w:line="360" w:lineRule="auto"/>
        <w:jc w:val="center"/>
        <w:rPr>
          <w:b/>
        </w:rPr>
      </w:pPr>
      <w:r w:rsidRPr="005F10B9">
        <w:rPr>
          <w:b/>
        </w:rPr>
        <w:t>AÇIK ERİŞİMLİ YAYIN DESTEĞİNE İLİŞKİN UYGULAMA ESASLARI</w:t>
      </w:r>
    </w:p>
    <w:p w14:paraId="6BDCEB98" w14:textId="77777777" w:rsidR="0045149C" w:rsidRPr="00601B01" w:rsidRDefault="0045149C" w:rsidP="00131747">
      <w:pPr>
        <w:pStyle w:val="NormalWeb"/>
        <w:spacing w:line="360" w:lineRule="auto"/>
        <w:jc w:val="center"/>
        <w:rPr>
          <w:b/>
        </w:rPr>
      </w:pPr>
      <w:r w:rsidRPr="00601B01">
        <w:rPr>
          <w:b/>
        </w:rPr>
        <w:t>BİRİNCİ BÖLÜM</w:t>
      </w:r>
    </w:p>
    <w:p w14:paraId="15470A67" w14:textId="77777777" w:rsidR="0045149C" w:rsidRPr="00601B01" w:rsidRDefault="0045149C" w:rsidP="00131747">
      <w:pPr>
        <w:pStyle w:val="NormalWeb"/>
        <w:spacing w:line="360" w:lineRule="auto"/>
        <w:rPr>
          <w:b/>
        </w:rPr>
      </w:pPr>
      <w:r w:rsidRPr="00601B01">
        <w:rPr>
          <w:b/>
        </w:rPr>
        <w:t>Başlangıç Hükümleri</w:t>
      </w:r>
    </w:p>
    <w:p w14:paraId="6166BF59" w14:textId="77777777" w:rsidR="0045149C" w:rsidRPr="00601B01" w:rsidRDefault="0045149C" w:rsidP="00131747">
      <w:pPr>
        <w:pStyle w:val="NormalWeb"/>
        <w:spacing w:line="360" w:lineRule="auto"/>
        <w:jc w:val="both"/>
        <w:rPr>
          <w:b/>
        </w:rPr>
      </w:pPr>
      <w:r w:rsidRPr="00601B01">
        <w:rPr>
          <w:b/>
        </w:rPr>
        <w:t>Amaç</w:t>
      </w:r>
    </w:p>
    <w:p w14:paraId="3DC7A06F" w14:textId="13AE3FF8" w:rsidR="0045149C" w:rsidRPr="005F10B9" w:rsidRDefault="0045149C" w:rsidP="00131747">
      <w:pPr>
        <w:pStyle w:val="NormalWeb"/>
        <w:spacing w:line="360" w:lineRule="auto"/>
        <w:jc w:val="both"/>
      </w:pPr>
      <w:r w:rsidRPr="00601B01">
        <w:rPr>
          <w:b/>
        </w:rPr>
        <w:t>MADDE 1-</w:t>
      </w:r>
      <w:r w:rsidRPr="005F10B9">
        <w:t xml:space="preserve"> (1) Bu Uygulama Esaslarının amacı; Yıldız Teknik Üniversitesi öğretim elemanları tarafından gerçekleştirilen nitelikli bilimsel yayınların </w:t>
      </w:r>
      <w:r w:rsidR="00B53648">
        <w:t xml:space="preserve">Yıldız Teknik Üniversitesi Vakfı tarafından </w:t>
      </w:r>
      <w:r w:rsidRPr="005F10B9">
        <w:t>desteklenmesi amacıyla açık erişimli dergilerde yayımlanan bilimsel çalışmalar için sağlanacak mali desteğin usul ve esaslarını belirlemektir.</w:t>
      </w:r>
    </w:p>
    <w:p w14:paraId="2E6299C4" w14:textId="77777777" w:rsidR="0045149C" w:rsidRPr="00FE4FE7" w:rsidRDefault="0045149C" w:rsidP="00131747">
      <w:pPr>
        <w:pStyle w:val="NormalWeb"/>
        <w:spacing w:line="360" w:lineRule="auto"/>
        <w:jc w:val="both"/>
        <w:rPr>
          <w:b/>
        </w:rPr>
      </w:pPr>
      <w:r w:rsidRPr="00FE4FE7">
        <w:rPr>
          <w:b/>
        </w:rPr>
        <w:t>Kapsam</w:t>
      </w:r>
    </w:p>
    <w:p w14:paraId="17B1CD12" w14:textId="77777777" w:rsidR="0045149C" w:rsidRPr="005F10B9" w:rsidRDefault="0045149C" w:rsidP="00131747">
      <w:pPr>
        <w:pStyle w:val="NormalWeb"/>
        <w:spacing w:line="360" w:lineRule="auto"/>
        <w:jc w:val="both"/>
      </w:pPr>
      <w:r w:rsidRPr="00FE4FE7">
        <w:rPr>
          <w:b/>
        </w:rPr>
        <w:t>MADDE 2</w:t>
      </w:r>
      <w:r w:rsidRPr="005F10B9">
        <w:t>- (1) Bu Uygulama Esasları, Yıldız Teknik Üniversitesi öğretim elemanlarının sorumlu yazar olarak yer aldığı açık erişimli bilimsel makalelere yönelik yayın desteğini kapsar.</w:t>
      </w:r>
    </w:p>
    <w:p w14:paraId="1B14EF5A" w14:textId="77777777" w:rsidR="0045149C" w:rsidRPr="00FE4FE7" w:rsidRDefault="0045149C" w:rsidP="00131747">
      <w:pPr>
        <w:pStyle w:val="NormalWeb"/>
        <w:spacing w:line="360" w:lineRule="auto"/>
        <w:jc w:val="both"/>
        <w:rPr>
          <w:b/>
        </w:rPr>
      </w:pPr>
      <w:r w:rsidRPr="00FE4FE7">
        <w:rPr>
          <w:b/>
        </w:rPr>
        <w:t>Tanımlar</w:t>
      </w:r>
    </w:p>
    <w:p w14:paraId="0D2F11EF" w14:textId="77777777" w:rsidR="0045149C" w:rsidRPr="005F10B9" w:rsidRDefault="0045149C" w:rsidP="00131747">
      <w:pPr>
        <w:pStyle w:val="NormalWeb"/>
        <w:spacing w:line="360" w:lineRule="auto"/>
        <w:jc w:val="both"/>
      </w:pPr>
      <w:r w:rsidRPr="00FE4FE7">
        <w:rPr>
          <w:b/>
        </w:rPr>
        <w:t>MADDE 3</w:t>
      </w:r>
      <w:r w:rsidRPr="005F10B9">
        <w:t>- (1) Bu Uygulama Esaslarında geçen;</w:t>
      </w:r>
    </w:p>
    <w:p w14:paraId="61CFC72D" w14:textId="6A4985F1" w:rsidR="0045149C" w:rsidRPr="005F10B9" w:rsidRDefault="0045149C" w:rsidP="00131747">
      <w:pPr>
        <w:pStyle w:val="NormalWeb"/>
        <w:numPr>
          <w:ilvl w:val="0"/>
          <w:numId w:val="1"/>
        </w:numPr>
        <w:spacing w:line="360" w:lineRule="auto"/>
        <w:jc w:val="both"/>
      </w:pPr>
      <w:r w:rsidRPr="005F10B9">
        <w:t>Açık Erişimli Makale: Tam metnine internet ortamında ücretsiz ve engelsiz olarak erişilebilen bilimsel makaleyi,</w:t>
      </w:r>
    </w:p>
    <w:p w14:paraId="7B1902E1" w14:textId="61A442EF" w:rsidR="0045149C" w:rsidRPr="005F10B9" w:rsidRDefault="0045149C" w:rsidP="00131747">
      <w:pPr>
        <w:pStyle w:val="NormalWeb"/>
        <w:numPr>
          <w:ilvl w:val="0"/>
          <w:numId w:val="1"/>
        </w:numPr>
        <w:spacing w:line="360" w:lineRule="auto"/>
        <w:jc w:val="both"/>
      </w:pPr>
      <w:r w:rsidRPr="005F10B9">
        <w:t>Başvuru Sahibi: Destek başvurusunda bulunan ve makalede sorumlu yazar olarak yer alan Yıldız Teknik Üniversitesi öğretim elemanını,</w:t>
      </w:r>
    </w:p>
    <w:p w14:paraId="25CE0504" w14:textId="77777777" w:rsidR="00131747" w:rsidRDefault="0045149C" w:rsidP="00131747">
      <w:pPr>
        <w:pStyle w:val="NormalWeb"/>
        <w:numPr>
          <w:ilvl w:val="0"/>
          <w:numId w:val="1"/>
        </w:numPr>
        <w:spacing w:line="360" w:lineRule="auto"/>
        <w:jc w:val="both"/>
      </w:pPr>
      <w:r w:rsidRPr="005F10B9">
        <w:t>DOI: Dijital Nesne Tanımlayıcısını (</w:t>
      </w:r>
      <w:proofErr w:type="spellStart"/>
      <w:r w:rsidRPr="005F10B9">
        <w:t>Digital</w:t>
      </w:r>
      <w:proofErr w:type="spellEnd"/>
      <w:r w:rsidRPr="005F10B9">
        <w:t xml:space="preserve"> Object </w:t>
      </w:r>
      <w:proofErr w:type="spellStart"/>
      <w:r w:rsidRPr="005F10B9">
        <w:t>Identifier</w:t>
      </w:r>
      <w:proofErr w:type="spellEnd"/>
      <w:r w:rsidRPr="005F10B9">
        <w:t>),</w:t>
      </w:r>
    </w:p>
    <w:p w14:paraId="03425564" w14:textId="5370B49E" w:rsidR="0045149C" w:rsidRPr="005F10B9" w:rsidRDefault="0045149C" w:rsidP="00131747">
      <w:pPr>
        <w:pStyle w:val="NormalWeb"/>
        <w:numPr>
          <w:ilvl w:val="0"/>
          <w:numId w:val="1"/>
        </w:numPr>
        <w:spacing w:line="360" w:lineRule="auto"/>
        <w:jc w:val="both"/>
      </w:pPr>
      <w:r w:rsidRPr="005F10B9">
        <w:t>Öğretim Elemanı: 2547 sayılı Yükseköğretim Kanunu kapsamında Yıldız Teknik Üniversitesinde görev yapan öğretim üyeleri, öğretim görevlileri ve araştırma görevlilerini,</w:t>
      </w:r>
    </w:p>
    <w:p w14:paraId="22D2912E" w14:textId="06781122" w:rsidR="0045149C" w:rsidRPr="005F10B9" w:rsidRDefault="0045149C" w:rsidP="00131747">
      <w:pPr>
        <w:pStyle w:val="NormalWeb"/>
        <w:numPr>
          <w:ilvl w:val="0"/>
          <w:numId w:val="1"/>
        </w:numPr>
        <w:spacing w:line="360" w:lineRule="auto"/>
        <w:jc w:val="both"/>
      </w:pPr>
      <w:proofErr w:type="spellStart"/>
      <w:r w:rsidRPr="005F10B9">
        <w:t>Scopus</w:t>
      </w:r>
      <w:proofErr w:type="spellEnd"/>
      <w:r w:rsidRPr="005F10B9">
        <w:t xml:space="preserve">: </w:t>
      </w:r>
      <w:proofErr w:type="spellStart"/>
      <w:r w:rsidRPr="005F10B9">
        <w:t>Elsevier</w:t>
      </w:r>
      <w:proofErr w:type="spellEnd"/>
      <w:r w:rsidRPr="005F10B9">
        <w:t xml:space="preserve"> tarafından yürütülen uluslararası akademik atıf ve özet veri tabanını,</w:t>
      </w:r>
    </w:p>
    <w:p w14:paraId="03185FDE" w14:textId="1AB44DF1" w:rsidR="0045149C" w:rsidRPr="005F10B9" w:rsidRDefault="0045149C" w:rsidP="00131747">
      <w:pPr>
        <w:pStyle w:val="NormalWeb"/>
        <w:numPr>
          <w:ilvl w:val="0"/>
          <w:numId w:val="1"/>
        </w:numPr>
        <w:spacing w:line="360" w:lineRule="auto"/>
        <w:jc w:val="both"/>
      </w:pPr>
      <w:r w:rsidRPr="005F10B9">
        <w:lastRenderedPageBreak/>
        <w:t>Sorumlu Yazar: Makalenin dergiye gönderimi, hakemlik süreci ve yayımlanmasına ilişkin işlemlerden sorumlu olan ve dergi tarafından iletişim yazarı (</w:t>
      </w:r>
      <w:proofErr w:type="spellStart"/>
      <w:r w:rsidRPr="005F10B9">
        <w:t>corresponding</w:t>
      </w:r>
      <w:proofErr w:type="spellEnd"/>
      <w:r w:rsidRPr="005F10B9">
        <w:t xml:space="preserve"> </w:t>
      </w:r>
      <w:proofErr w:type="spellStart"/>
      <w:r w:rsidRPr="005F10B9">
        <w:t>author</w:t>
      </w:r>
      <w:proofErr w:type="spellEnd"/>
      <w:r w:rsidRPr="005F10B9">
        <w:t>) olarak kabul edilen yazarı,</w:t>
      </w:r>
    </w:p>
    <w:p w14:paraId="0EBFB50D" w14:textId="77777777" w:rsidR="00131747" w:rsidRDefault="0045149C" w:rsidP="00131747">
      <w:pPr>
        <w:pStyle w:val="NormalWeb"/>
        <w:numPr>
          <w:ilvl w:val="0"/>
          <w:numId w:val="1"/>
        </w:numPr>
        <w:spacing w:line="360" w:lineRule="auto"/>
        <w:jc w:val="both"/>
      </w:pPr>
      <w:r w:rsidRPr="005F10B9">
        <w:t>Üniversite: Yıldız Teknik Üniversitesini,</w:t>
      </w:r>
    </w:p>
    <w:p w14:paraId="1B2508F0" w14:textId="0450BE7B" w:rsidR="0045149C" w:rsidRPr="005F10B9" w:rsidRDefault="0045149C" w:rsidP="00131747">
      <w:pPr>
        <w:pStyle w:val="NormalWeb"/>
        <w:numPr>
          <w:ilvl w:val="0"/>
          <w:numId w:val="1"/>
        </w:numPr>
        <w:spacing w:line="360" w:lineRule="auto"/>
        <w:jc w:val="both"/>
      </w:pPr>
      <w:r w:rsidRPr="005F10B9">
        <w:t>Koordinatörlük: Yıldız Teknik Üniversitesi</w:t>
      </w:r>
      <w:r w:rsidR="00492C09">
        <w:t>,</w:t>
      </w:r>
      <w:r w:rsidRPr="005F10B9">
        <w:t xml:space="preserve"> Kurumsal Büyük Veri Yönetimi Koordinatörlüğünü,</w:t>
      </w:r>
    </w:p>
    <w:p w14:paraId="76D4B128" w14:textId="69995CEB" w:rsidR="0045149C" w:rsidRPr="005F10B9" w:rsidRDefault="0045149C" w:rsidP="00131747">
      <w:pPr>
        <w:pStyle w:val="NormalWeb"/>
        <w:numPr>
          <w:ilvl w:val="0"/>
          <w:numId w:val="1"/>
        </w:numPr>
        <w:spacing w:line="360" w:lineRule="auto"/>
        <w:jc w:val="both"/>
      </w:pPr>
      <w:r w:rsidRPr="005F10B9">
        <w:t>Yayın Desteği: Bu Uygulama Esasları kapsamında açık erişimli bilimsel makaleler için sağlanan mali desteği,</w:t>
      </w:r>
    </w:p>
    <w:p w14:paraId="589D40CB" w14:textId="77777777" w:rsidR="0045149C" w:rsidRPr="005F10B9" w:rsidRDefault="0045149C" w:rsidP="00131747">
      <w:pPr>
        <w:pStyle w:val="NormalWeb"/>
        <w:spacing w:line="360" w:lineRule="auto"/>
        <w:jc w:val="both"/>
      </w:pPr>
      <w:r w:rsidRPr="005F10B9">
        <w:t>ifade eder.</w:t>
      </w:r>
    </w:p>
    <w:p w14:paraId="23CB8FED" w14:textId="77777777" w:rsidR="0045149C" w:rsidRPr="00FE4FE7" w:rsidRDefault="0045149C" w:rsidP="00131747">
      <w:pPr>
        <w:pStyle w:val="NormalWeb"/>
        <w:spacing w:line="360" w:lineRule="auto"/>
        <w:jc w:val="center"/>
        <w:rPr>
          <w:b/>
        </w:rPr>
      </w:pPr>
      <w:r w:rsidRPr="00FE4FE7">
        <w:rPr>
          <w:b/>
        </w:rPr>
        <w:t>İKİNCİ BÖLÜM</w:t>
      </w:r>
    </w:p>
    <w:p w14:paraId="535D4B51" w14:textId="77777777" w:rsidR="0045149C" w:rsidRPr="00FE4FE7" w:rsidRDefault="0045149C" w:rsidP="00131747">
      <w:pPr>
        <w:pStyle w:val="NormalWeb"/>
        <w:spacing w:line="360" w:lineRule="auto"/>
        <w:jc w:val="center"/>
        <w:rPr>
          <w:b/>
        </w:rPr>
      </w:pPr>
      <w:r w:rsidRPr="00FE4FE7">
        <w:rPr>
          <w:b/>
        </w:rPr>
        <w:t>Destek Esasları</w:t>
      </w:r>
    </w:p>
    <w:p w14:paraId="3D1F428F" w14:textId="77777777" w:rsidR="0045149C" w:rsidRPr="00FE4FE7" w:rsidRDefault="0045149C" w:rsidP="00131747">
      <w:pPr>
        <w:pStyle w:val="NormalWeb"/>
        <w:spacing w:line="360" w:lineRule="auto"/>
        <w:jc w:val="both"/>
        <w:rPr>
          <w:b/>
        </w:rPr>
      </w:pPr>
      <w:r w:rsidRPr="00FE4FE7">
        <w:rPr>
          <w:b/>
        </w:rPr>
        <w:t>Yayının Niteliği ve Başvuru Süresi</w:t>
      </w:r>
    </w:p>
    <w:p w14:paraId="73494382" w14:textId="77777777" w:rsidR="0045149C" w:rsidRPr="005F10B9" w:rsidRDefault="0045149C" w:rsidP="00131747">
      <w:pPr>
        <w:pStyle w:val="NormalWeb"/>
        <w:spacing w:line="360" w:lineRule="auto"/>
        <w:jc w:val="both"/>
      </w:pPr>
      <w:r w:rsidRPr="00FE4FE7">
        <w:rPr>
          <w:b/>
        </w:rPr>
        <w:t>MADDE 4</w:t>
      </w:r>
      <w:r w:rsidRPr="005F10B9">
        <w:t>- (1) Bu destek kapsamında, 01/01/2026 tarihinden itibaren yayımlanan makaleler değerlendirmeye alınır.</w:t>
      </w:r>
    </w:p>
    <w:p w14:paraId="5CAFD114" w14:textId="77777777" w:rsidR="0045149C" w:rsidRPr="005F10B9" w:rsidRDefault="0045149C" w:rsidP="00131747">
      <w:pPr>
        <w:pStyle w:val="NormalWeb"/>
        <w:spacing w:line="360" w:lineRule="auto"/>
        <w:jc w:val="both"/>
      </w:pPr>
      <w:r w:rsidRPr="005F10B9">
        <w:t>(2) Bu Uygulama Esasları kapsamında yayımlanmış makale; dijital nesne tanımlayıcısı (DOI), cilt, sayı ve yıl bilgileri atanmış ve elektronik veya basılı ortamda yayımlanmış bilimsel çalışmaları ifade eder.</w:t>
      </w:r>
    </w:p>
    <w:p w14:paraId="5FF4DA09" w14:textId="64F66C02" w:rsidR="0045149C" w:rsidRPr="005F10B9" w:rsidRDefault="0045149C" w:rsidP="00131747">
      <w:pPr>
        <w:pStyle w:val="NormalWeb"/>
        <w:spacing w:line="360" w:lineRule="auto"/>
        <w:jc w:val="both"/>
      </w:pPr>
      <w:r w:rsidRPr="005F10B9">
        <w:t>(3) Destek başvurusunun, makalenin yayımlandığı tarihten itibaren en geç üç (3) ay içerisinde yapılması zorunludur.</w:t>
      </w:r>
      <w:r w:rsidR="00203E99">
        <w:t xml:space="preserve"> </w:t>
      </w:r>
    </w:p>
    <w:p w14:paraId="4F5D6914" w14:textId="77777777" w:rsidR="0045149C" w:rsidRPr="00FE4FE7" w:rsidRDefault="0045149C" w:rsidP="00131747">
      <w:pPr>
        <w:pStyle w:val="NormalWeb"/>
        <w:spacing w:line="360" w:lineRule="auto"/>
        <w:jc w:val="both"/>
        <w:rPr>
          <w:b/>
        </w:rPr>
      </w:pPr>
      <w:r w:rsidRPr="00FE4FE7">
        <w:rPr>
          <w:b/>
        </w:rPr>
        <w:t>Destek Koşulları</w:t>
      </w:r>
    </w:p>
    <w:p w14:paraId="4D950DFD" w14:textId="77777777" w:rsidR="0045149C" w:rsidRPr="005F10B9" w:rsidRDefault="0045149C" w:rsidP="00131747">
      <w:pPr>
        <w:pStyle w:val="NormalWeb"/>
        <w:spacing w:line="360" w:lineRule="auto"/>
        <w:jc w:val="both"/>
      </w:pPr>
      <w:r w:rsidRPr="00FE4FE7">
        <w:rPr>
          <w:b/>
        </w:rPr>
        <w:t>MADDE 5</w:t>
      </w:r>
      <w:r w:rsidRPr="005F10B9">
        <w:t>- (1) Açık erişimli yayın desteğinden yararlanılabilmesi için aşağıdaki şartların birlikte sağlanması gerekir:</w:t>
      </w:r>
    </w:p>
    <w:p w14:paraId="6A468810" w14:textId="57881A80" w:rsidR="0045149C" w:rsidRPr="005F10B9" w:rsidRDefault="0045149C" w:rsidP="00131747">
      <w:pPr>
        <w:pStyle w:val="NormalWeb"/>
        <w:numPr>
          <w:ilvl w:val="0"/>
          <w:numId w:val="2"/>
        </w:numPr>
        <w:spacing w:line="360" w:lineRule="auto"/>
        <w:jc w:val="both"/>
      </w:pPr>
      <w:r w:rsidRPr="005F10B9">
        <w:t xml:space="preserve">Makalenin yayımlandığı derginin, destek başvurusunun yapıldığı tarihte </w:t>
      </w:r>
      <w:proofErr w:type="spellStart"/>
      <w:r w:rsidRPr="005F10B9">
        <w:t>Scopus</w:t>
      </w:r>
      <w:proofErr w:type="spellEnd"/>
      <w:r w:rsidRPr="005F10B9">
        <w:t xml:space="preserve"> </w:t>
      </w:r>
      <w:proofErr w:type="spellStart"/>
      <w:r w:rsidRPr="005F10B9">
        <w:t>veritabanında</w:t>
      </w:r>
      <w:proofErr w:type="spellEnd"/>
      <w:r w:rsidRPr="005F10B9">
        <w:t xml:space="preserve"> en yüksek yüzde birlik (%1) dilimde yer alması,</w:t>
      </w:r>
    </w:p>
    <w:p w14:paraId="2EDEAFE5" w14:textId="1DDACDFD" w:rsidR="0045149C" w:rsidRPr="005F10B9" w:rsidRDefault="0045149C" w:rsidP="00131747">
      <w:pPr>
        <w:pStyle w:val="NormalWeb"/>
        <w:numPr>
          <w:ilvl w:val="0"/>
          <w:numId w:val="2"/>
        </w:numPr>
        <w:spacing w:line="360" w:lineRule="auto"/>
        <w:jc w:val="both"/>
      </w:pPr>
      <w:r w:rsidRPr="005F10B9">
        <w:t>Başvuru sahibinin makalede sorumlu yazar olarak yer alması,</w:t>
      </w:r>
    </w:p>
    <w:p w14:paraId="300EB51E" w14:textId="4EC729B4" w:rsidR="0045149C" w:rsidRPr="005F10B9" w:rsidRDefault="0045149C" w:rsidP="00131747">
      <w:pPr>
        <w:pStyle w:val="NormalWeb"/>
        <w:numPr>
          <w:ilvl w:val="0"/>
          <w:numId w:val="2"/>
        </w:numPr>
        <w:spacing w:line="360" w:lineRule="auto"/>
        <w:jc w:val="both"/>
      </w:pPr>
      <w:r w:rsidRPr="005F10B9">
        <w:t>Sorumlu yazarın, yayımlanan makalede Yıldız Teknik Üniversitesi kurumsal adresini kullanmış olması,</w:t>
      </w:r>
    </w:p>
    <w:p w14:paraId="3F46F9F8" w14:textId="64E66065" w:rsidR="0045149C" w:rsidRPr="005F10B9" w:rsidRDefault="0045149C" w:rsidP="00131747">
      <w:pPr>
        <w:pStyle w:val="NormalWeb"/>
        <w:numPr>
          <w:ilvl w:val="0"/>
          <w:numId w:val="2"/>
        </w:numPr>
        <w:spacing w:line="360" w:lineRule="auto"/>
        <w:jc w:val="both"/>
      </w:pPr>
      <w:r w:rsidRPr="005F10B9">
        <w:lastRenderedPageBreak/>
        <w:t>Makalenin açık erişimli olarak yayımlanmış olması,</w:t>
      </w:r>
    </w:p>
    <w:p w14:paraId="20F0702B" w14:textId="5B7C859F" w:rsidR="0045149C" w:rsidRPr="005F10B9" w:rsidRDefault="0045149C" w:rsidP="00131747">
      <w:pPr>
        <w:pStyle w:val="NormalWeb"/>
        <w:numPr>
          <w:ilvl w:val="0"/>
          <w:numId w:val="2"/>
        </w:numPr>
        <w:spacing w:line="360" w:lineRule="auto"/>
        <w:jc w:val="both"/>
      </w:pPr>
      <w:r w:rsidRPr="005F10B9">
        <w:t>Makaleye ilişkin makale işlem ücretinin (</w:t>
      </w:r>
      <w:proofErr w:type="spellStart"/>
      <w:r w:rsidRPr="005F10B9">
        <w:t>Article</w:t>
      </w:r>
      <w:proofErr w:type="spellEnd"/>
      <w:r w:rsidRPr="005F10B9">
        <w:t xml:space="preserve"> </w:t>
      </w:r>
      <w:proofErr w:type="spellStart"/>
      <w:r w:rsidRPr="005F10B9">
        <w:t>Processing</w:t>
      </w:r>
      <w:proofErr w:type="spellEnd"/>
      <w:r w:rsidRPr="005F10B9">
        <w:t xml:space="preserve"> </w:t>
      </w:r>
      <w:proofErr w:type="spellStart"/>
      <w:r w:rsidRPr="005F10B9">
        <w:t>Charge</w:t>
      </w:r>
      <w:proofErr w:type="spellEnd"/>
      <w:r w:rsidRPr="005F10B9">
        <w:t>-APC) başvuru sahibi tarafından ödendiğinin belgelendirilmiş olması,</w:t>
      </w:r>
    </w:p>
    <w:p w14:paraId="430BE9A1" w14:textId="645A9205" w:rsidR="0045149C" w:rsidRPr="005F10B9" w:rsidRDefault="0045149C" w:rsidP="00131747">
      <w:pPr>
        <w:pStyle w:val="NormalWeb"/>
        <w:numPr>
          <w:ilvl w:val="0"/>
          <w:numId w:val="2"/>
        </w:numPr>
        <w:spacing w:line="360" w:lineRule="auto"/>
        <w:jc w:val="both"/>
      </w:pPr>
      <w:r w:rsidRPr="005F10B9">
        <w:t>Makale işlem ücretinin (APC), herhangi bir kamu kurumu, özel kuruluş, araştırma projesi, bilimsel araştırma fonu, sponsor desteği veya başka bir kaynak tarafından karşılanmamış olması ya da karşılanan kısım için destek talebinde bulunulmaması.</w:t>
      </w:r>
    </w:p>
    <w:p w14:paraId="3B0E8E52" w14:textId="77777777" w:rsidR="0045149C" w:rsidRPr="00FE4FE7" w:rsidRDefault="0045149C" w:rsidP="00131747">
      <w:pPr>
        <w:pStyle w:val="NormalWeb"/>
        <w:spacing w:line="360" w:lineRule="auto"/>
        <w:jc w:val="both"/>
        <w:rPr>
          <w:b/>
        </w:rPr>
      </w:pPr>
      <w:r w:rsidRPr="00FE4FE7">
        <w:rPr>
          <w:b/>
        </w:rPr>
        <w:t>Destek Miktarı ve Sınırları</w:t>
      </w:r>
    </w:p>
    <w:p w14:paraId="3876A88C" w14:textId="77777777" w:rsidR="0045149C" w:rsidRPr="005F10B9" w:rsidRDefault="0045149C" w:rsidP="00131747">
      <w:pPr>
        <w:pStyle w:val="NormalWeb"/>
        <w:spacing w:line="360" w:lineRule="auto"/>
        <w:jc w:val="both"/>
      </w:pPr>
      <w:r w:rsidRPr="00FE4FE7">
        <w:rPr>
          <w:b/>
        </w:rPr>
        <w:t>MADDE 6</w:t>
      </w:r>
      <w:r w:rsidRPr="005F10B9">
        <w:t>- (1) Açık erişimli yayın desteği yalnızca makale işlem ücreti (</w:t>
      </w:r>
      <w:proofErr w:type="spellStart"/>
      <w:r w:rsidRPr="005F10B9">
        <w:t>Article</w:t>
      </w:r>
      <w:proofErr w:type="spellEnd"/>
      <w:r w:rsidRPr="005F10B9">
        <w:t xml:space="preserve"> </w:t>
      </w:r>
      <w:proofErr w:type="spellStart"/>
      <w:r w:rsidRPr="005F10B9">
        <w:t>Processing</w:t>
      </w:r>
      <w:proofErr w:type="spellEnd"/>
      <w:r w:rsidRPr="005F10B9">
        <w:t xml:space="preserve"> </w:t>
      </w:r>
      <w:proofErr w:type="spellStart"/>
      <w:r w:rsidRPr="005F10B9">
        <w:t>Charge</w:t>
      </w:r>
      <w:proofErr w:type="spellEnd"/>
      <w:r w:rsidRPr="005F10B9">
        <w:t>-APC) kapsamında sağlanır.</w:t>
      </w:r>
    </w:p>
    <w:p w14:paraId="3B2CC4A6" w14:textId="663F416B" w:rsidR="0045149C" w:rsidRPr="005F10B9" w:rsidRDefault="0045149C" w:rsidP="00131747">
      <w:pPr>
        <w:pStyle w:val="NormalWeb"/>
        <w:spacing w:line="360" w:lineRule="auto"/>
        <w:jc w:val="both"/>
      </w:pPr>
      <w:r w:rsidRPr="004F114D">
        <w:t xml:space="preserve">(2) </w:t>
      </w:r>
      <w:r w:rsidR="00855A9E" w:rsidRPr="004F114D">
        <w:t>F</w:t>
      </w:r>
      <w:r w:rsidRPr="004F114D">
        <w:t xml:space="preserve">atura veya eşdeğer ödeme belgesi ile belgelendirilen fiili gider tutarını aşmamak kaydıyla </w:t>
      </w:r>
      <w:r w:rsidR="00855A9E" w:rsidRPr="004F114D">
        <w:t>d</w:t>
      </w:r>
      <w:r w:rsidRPr="004F114D">
        <w:t>estek üst limiti</w:t>
      </w:r>
      <w:r w:rsidR="00A83E19" w:rsidRPr="004F114D">
        <w:t xml:space="preserve"> her yıl</w:t>
      </w:r>
      <w:r w:rsidRPr="004F114D">
        <w:t xml:space="preserve"> </w:t>
      </w:r>
      <w:r w:rsidR="00855A9E" w:rsidRPr="004F114D">
        <w:t xml:space="preserve">Üniversite Yönetim Kurulu </w:t>
      </w:r>
      <w:r w:rsidRPr="004F114D">
        <w:t>kararıyla belirlenir.</w:t>
      </w:r>
    </w:p>
    <w:p w14:paraId="02A66090" w14:textId="4AAF63BD" w:rsidR="00D84E16" w:rsidRPr="005F10B9" w:rsidRDefault="0045149C" w:rsidP="00131747">
      <w:pPr>
        <w:pStyle w:val="NormalWeb"/>
        <w:spacing w:line="360" w:lineRule="auto"/>
        <w:jc w:val="both"/>
      </w:pPr>
      <w:r w:rsidRPr="005F10B9">
        <w:t>(3) Her araştırmacı bu destekten bir takvim yılı içerisinde en fazla bir kez yararlanabilir.</w:t>
      </w:r>
    </w:p>
    <w:p w14:paraId="4D403583" w14:textId="77777777" w:rsidR="0045149C" w:rsidRPr="009B46AE" w:rsidRDefault="0045149C" w:rsidP="00131747">
      <w:pPr>
        <w:pStyle w:val="NormalWeb"/>
        <w:spacing w:line="360" w:lineRule="auto"/>
        <w:jc w:val="both"/>
        <w:rPr>
          <w:b/>
        </w:rPr>
      </w:pPr>
      <w:r w:rsidRPr="009B46AE">
        <w:rPr>
          <w:b/>
        </w:rPr>
        <w:t>Başvuru, Değerlendirme ve Kontenjan</w:t>
      </w:r>
    </w:p>
    <w:p w14:paraId="3351D202" w14:textId="5EF8A204" w:rsidR="0045149C" w:rsidRPr="005F10B9" w:rsidRDefault="0045149C" w:rsidP="00131747">
      <w:pPr>
        <w:pStyle w:val="NormalWeb"/>
        <w:spacing w:line="360" w:lineRule="auto"/>
        <w:jc w:val="both"/>
      </w:pPr>
      <w:r w:rsidRPr="009B46AE">
        <w:rPr>
          <w:b/>
        </w:rPr>
        <w:t>MADDE 7</w:t>
      </w:r>
      <w:r w:rsidRPr="005F10B9">
        <w:t xml:space="preserve">- (1) </w:t>
      </w:r>
      <w:r w:rsidRPr="00FA4C82">
        <w:t xml:space="preserve">Başvurular, </w:t>
      </w:r>
      <w:r w:rsidR="00EE51C3" w:rsidRPr="00FA4C82">
        <w:t>Koordinatörlük</w:t>
      </w:r>
      <w:r w:rsidRPr="00FA4C82">
        <w:t xml:space="preserve"> tarafından</w:t>
      </w:r>
      <w:r w:rsidRPr="005F10B9">
        <w:t xml:space="preserve"> değerlendirilir. Belirtilen koşulları sağladığı tespit edilen başvurular, başvuru tarihi esas alınarak başvuru sırasına göre değerlendirilir. Koşulları sağlamayan başvurular değerlendirmeye alınmaz.</w:t>
      </w:r>
    </w:p>
    <w:p w14:paraId="64F27463" w14:textId="77777777" w:rsidR="0045149C" w:rsidRPr="005F10B9" w:rsidRDefault="0045149C" w:rsidP="00131747">
      <w:pPr>
        <w:pStyle w:val="NormalWeb"/>
        <w:spacing w:line="360" w:lineRule="auto"/>
        <w:jc w:val="both"/>
      </w:pPr>
      <w:r w:rsidRPr="005F10B9">
        <w:t>(2) Başvurular yıl boyunca sürekli olarak kabul edilir. Her takvim yılında şartları sağlayan başvurular arasından ilk 100 (yüz) başvuru desteklenir.</w:t>
      </w:r>
    </w:p>
    <w:p w14:paraId="4467D5C1" w14:textId="5B491DBC" w:rsidR="0045149C" w:rsidRPr="005F10B9" w:rsidRDefault="0045149C" w:rsidP="00131747">
      <w:pPr>
        <w:pStyle w:val="NormalWeb"/>
        <w:spacing w:line="360" w:lineRule="auto"/>
        <w:jc w:val="both"/>
      </w:pPr>
      <w:r w:rsidRPr="005F10B9">
        <w:t xml:space="preserve">(3) </w:t>
      </w:r>
      <w:r w:rsidR="003244FC" w:rsidRPr="003244FC">
        <w:t xml:space="preserve">Rektörlük, bütçe imkânları ve başvuru yoğunluğunu dikkate alarak desteklenecek başvuru sayısını artırmaya ve destek kapsamındaki </w:t>
      </w:r>
      <w:proofErr w:type="spellStart"/>
      <w:r w:rsidR="003244FC" w:rsidRPr="003244FC">
        <w:t>Scopus</w:t>
      </w:r>
      <w:proofErr w:type="spellEnd"/>
      <w:r w:rsidR="003244FC" w:rsidRPr="003244FC">
        <w:t xml:space="preserve"> yüzdelik dilimlerine ilişkin kriterlerde değişiklik yapmaya yetkilidir.</w:t>
      </w:r>
    </w:p>
    <w:p w14:paraId="5E801425" w14:textId="4A4EF08E" w:rsidR="0045149C" w:rsidRDefault="0045149C" w:rsidP="00131747">
      <w:pPr>
        <w:pStyle w:val="NormalWeb"/>
        <w:spacing w:line="360" w:lineRule="auto"/>
        <w:jc w:val="both"/>
      </w:pPr>
      <w:r w:rsidRPr="005F10B9">
        <w:t xml:space="preserve">(4) Destek verilmesine ilişkin </w:t>
      </w:r>
      <w:r w:rsidRPr="00FA4C82">
        <w:t xml:space="preserve">nihai karar </w:t>
      </w:r>
      <w:r w:rsidR="00EE51C3" w:rsidRPr="00FA4C82">
        <w:t>Rektörlük</w:t>
      </w:r>
      <w:r w:rsidRPr="00FA4C82">
        <w:t xml:space="preserve"> onayı</w:t>
      </w:r>
      <w:r w:rsidRPr="005F10B9">
        <w:t xml:space="preserve"> ile kesinleşir.</w:t>
      </w:r>
    </w:p>
    <w:p w14:paraId="516F4BBB" w14:textId="3D40D358" w:rsidR="00F609BC" w:rsidRDefault="00F609BC" w:rsidP="00131747">
      <w:pPr>
        <w:pStyle w:val="NormalWeb"/>
        <w:spacing w:line="360" w:lineRule="auto"/>
        <w:jc w:val="both"/>
      </w:pPr>
    </w:p>
    <w:p w14:paraId="7AF8A09F" w14:textId="77777777" w:rsidR="00A735AE" w:rsidRDefault="00A735AE" w:rsidP="00131747">
      <w:pPr>
        <w:pStyle w:val="NormalWeb"/>
        <w:spacing w:line="360" w:lineRule="auto"/>
        <w:jc w:val="both"/>
      </w:pPr>
    </w:p>
    <w:p w14:paraId="19C484C5" w14:textId="77777777" w:rsidR="00F609BC" w:rsidRPr="005F10B9" w:rsidRDefault="00F609BC" w:rsidP="00131747">
      <w:pPr>
        <w:pStyle w:val="NormalWeb"/>
        <w:spacing w:line="360" w:lineRule="auto"/>
        <w:jc w:val="both"/>
      </w:pPr>
    </w:p>
    <w:p w14:paraId="7291B0C5" w14:textId="23262B52" w:rsidR="0045149C" w:rsidRPr="009B46AE" w:rsidRDefault="0045149C" w:rsidP="00131747">
      <w:pPr>
        <w:pStyle w:val="NormalWeb"/>
        <w:spacing w:line="360" w:lineRule="auto"/>
        <w:jc w:val="both"/>
        <w:rPr>
          <w:b/>
        </w:rPr>
      </w:pPr>
      <w:r w:rsidRPr="009B46AE">
        <w:rPr>
          <w:b/>
        </w:rPr>
        <w:lastRenderedPageBreak/>
        <w:t>Destek Ödemesi</w:t>
      </w:r>
    </w:p>
    <w:p w14:paraId="5A3773E5" w14:textId="4519E154" w:rsidR="0045149C" w:rsidRPr="005F10B9" w:rsidRDefault="0045149C" w:rsidP="00131747">
      <w:pPr>
        <w:pStyle w:val="NormalWeb"/>
        <w:spacing w:line="360" w:lineRule="auto"/>
        <w:jc w:val="both"/>
      </w:pPr>
      <w:r w:rsidRPr="004417ED">
        <w:rPr>
          <w:b/>
        </w:rPr>
        <w:t>MADDE 8</w:t>
      </w:r>
      <w:r w:rsidRPr="004417ED">
        <w:t xml:space="preserve">- (1) Bu Uygulama Esasları kapsamında desteklenmesi uygun bulunan başvurulara ilişkin ödeme, </w:t>
      </w:r>
      <w:r w:rsidR="00EE51C3" w:rsidRPr="004417ED">
        <w:t xml:space="preserve">Rektörlük </w:t>
      </w:r>
      <w:r w:rsidRPr="004417ED">
        <w:t xml:space="preserve">tarafından onaylanan destek kararı doğrultusunda </w:t>
      </w:r>
      <w:r w:rsidR="00B53648" w:rsidRPr="00B53648">
        <w:t xml:space="preserve">Yıldız Teknik Üniversitesi Vakfı </w:t>
      </w:r>
      <w:r w:rsidR="00B427A9">
        <w:t xml:space="preserve">tarafından </w:t>
      </w:r>
      <w:r w:rsidRPr="004417ED">
        <w:t>yapılır.</w:t>
      </w:r>
    </w:p>
    <w:p w14:paraId="44BC6F29" w14:textId="77777777" w:rsidR="0045149C" w:rsidRPr="009B46AE" w:rsidRDefault="0045149C" w:rsidP="00131747">
      <w:pPr>
        <w:pStyle w:val="NormalWeb"/>
        <w:spacing w:line="360" w:lineRule="auto"/>
        <w:jc w:val="center"/>
        <w:rPr>
          <w:b/>
        </w:rPr>
      </w:pPr>
      <w:r w:rsidRPr="009B46AE">
        <w:rPr>
          <w:b/>
        </w:rPr>
        <w:t>ÜÇÜNCÜ BÖLÜM</w:t>
      </w:r>
    </w:p>
    <w:p w14:paraId="0C014FB7" w14:textId="77777777" w:rsidR="0045149C" w:rsidRPr="009B46AE" w:rsidRDefault="0045149C" w:rsidP="00131747">
      <w:pPr>
        <w:pStyle w:val="NormalWeb"/>
        <w:spacing w:line="360" w:lineRule="auto"/>
        <w:jc w:val="center"/>
        <w:rPr>
          <w:b/>
        </w:rPr>
      </w:pPr>
      <w:r w:rsidRPr="009B46AE">
        <w:rPr>
          <w:b/>
        </w:rPr>
        <w:t>Son Hükümler</w:t>
      </w:r>
    </w:p>
    <w:p w14:paraId="295BCE76" w14:textId="77777777" w:rsidR="0045149C" w:rsidRPr="009B46AE" w:rsidRDefault="0045149C" w:rsidP="00131747">
      <w:pPr>
        <w:pStyle w:val="NormalWeb"/>
        <w:spacing w:line="360" w:lineRule="auto"/>
        <w:jc w:val="both"/>
        <w:rPr>
          <w:b/>
        </w:rPr>
      </w:pPr>
      <w:r w:rsidRPr="009B46AE">
        <w:rPr>
          <w:b/>
        </w:rPr>
        <w:t>Hüküm Bulunmayan Haller</w:t>
      </w:r>
    </w:p>
    <w:p w14:paraId="420C5A6F" w14:textId="191AD06C" w:rsidR="0045149C" w:rsidRPr="005F10B9" w:rsidRDefault="0045149C" w:rsidP="00131747">
      <w:pPr>
        <w:pStyle w:val="NormalWeb"/>
        <w:spacing w:line="360" w:lineRule="auto"/>
        <w:jc w:val="both"/>
      </w:pPr>
      <w:r w:rsidRPr="009B46AE">
        <w:rPr>
          <w:b/>
        </w:rPr>
        <w:t>MADDE 9</w:t>
      </w:r>
      <w:r w:rsidRPr="005F10B9">
        <w:t xml:space="preserve">- (1) Bu Uygulama Esaslarında hüküm bulunmayan hallerde </w:t>
      </w:r>
      <w:r w:rsidR="00E555B4" w:rsidRPr="00FA4C82">
        <w:t>Rektörlük</w:t>
      </w:r>
      <w:r w:rsidRPr="005F10B9">
        <w:t xml:space="preserve"> kararları uygulanır.</w:t>
      </w:r>
    </w:p>
    <w:p w14:paraId="6EF63ECB" w14:textId="77777777" w:rsidR="0045149C" w:rsidRPr="009B46AE" w:rsidRDefault="0045149C" w:rsidP="00131747">
      <w:pPr>
        <w:pStyle w:val="NormalWeb"/>
        <w:spacing w:line="360" w:lineRule="auto"/>
        <w:jc w:val="both"/>
        <w:rPr>
          <w:b/>
        </w:rPr>
      </w:pPr>
      <w:r w:rsidRPr="009B46AE">
        <w:rPr>
          <w:b/>
        </w:rPr>
        <w:t>Yürürlük</w:t>
      </w:r>
    </w:p>
    <w:p w14:paraId="77D3F637" w14:textId="5F037DCE" w:rsidR="0045149C" w:rsidRPr="005F10B9" w:rsidRDefault="0045149C" w:rsidP="00131747">
      <w:pPr>
        <w:pStyle w:val="NormalWeb"/>
        <w:spacing w:line="360" w:lineRule="auto"/>
        <w:jc w:val="both"/>
      </w:pPr>
      <w:r w:rsidRPr="004417ED">
        <w:rPr>
          <w:b/>
        </w:rPr>
        <w:t>MADDE 10</w:t>
      </w:r>
      <w:r w:rsidRPr="004417ED">
        <w:t xml:space="preserve">- (1) Bu Uygulama Esasları, </w:t>
      </w:r>
      <w:r w:rsidR="004F114D">
        <w:t>Senato</w:t>
      </w:r>
      <w:r w:rsidRPr="004417ED">
        <w:t xml:space="preserve"> tarafından kabul edildiği tarihte yürürlüğe girer.</w:t>
      </w:r>
    </w:p>
    <w:p w14:paraId="1999A195" w14:textId="77777777" w:rsidR="0045149C" w:rsidRPr="009B46AE" w:rsidRDefault="0045149C" w:rsidP="00131747">
      <w:pPr>
        <w:pStyle w:val="NormalWeb"/>
        <w:spacing w:line="360" w:lineRule="auto"/>
        <w:jc w:val="both"/>
        <w:rPr>
          <w:b/>
        </w:rPr>
      </w:pPr>
      <w:r w:rsidRPr="009B46AE">
        <w:rPr>
          <w:b/>
        </w:rPr>
        <w:t>Yürütme</w:t>
      </w:r>
    </w:p>
    <w:p w14:paraId="35D87F83" w14:textId="16956D2A" w:rsidR="0045149C" w:rsidRPr="005F10B9" w:rsidRDefault="0045149C" w:rsidP="00131747">
      <w:pPr>
        <w:pStyle w:val="NormalWeb"/>
        <w:spacing w:line="360" w:lineRule="auto"/>
        <w:jc w:val="both"/>
      </w:pPr>
      <w:r w:rsidRPr="009B46AE">
        <w:rPr>
          <w:b/>
        </w:rPr>
        <w:t>MADDE 11</w:t>
      </w:r>
      <w:r w:rsidRPr="005F10B9">
        <w:t>- (1) Bu Uygula</w:t>
      </w:r>
      <w:r w:rsidR="002A343C">
        <w:t>ma Esasları hükümleri</w:t>
      </w:r>
      <w:r w:rsidRPr="005F10B9">
        <w:t xml:space="preserve"> Yıldız Teknik Üniversitesi Rektörü </w:t>
      </w:r>
      <w:r w:rsidR="00EC367D">
        <w:t xml:space="preserve">tarafından </w:t>
      </w:r>
      <w:r w:rsidRPr="005F10B9">
        <w:t>yürütü</w:t>
      </w:r>
      <w:r w:rsidR="00EC367D">
        <w:t>lü</w:t>
      </w:r>
      <w:r w:rsidRPr="005F10B9">
        <w:t>r.</w:t>
      </w:r>
    </w:p>
    <w:p w14:paraId="0EB88C90" w14:textId="58AC2D17" w:rsidR="00404404" w:rsidRPr="005F10B9" w:rsidRDefault="00203E99" w:rsidP="00131747">
      <w:pPr>
        <w:spacing w:line="360" w:lineRule="auto"/>
        <w:jc w:val="both"/>
        <w:rPr>
          <w:rFonts w:ascii="Times New Roman" w:hAnsi="Times New Roman" w:cs="Times New Roman"/>
          <w:sz w:val="24"/>
          <w:szCs w:val="24"/>
        </w:rPr>
      </w:pPr>
      <w:r w:rsidRPr="00203E99">
        <w:rPr>
          <w:rFonts w:ascii="Times New Roman" w:hAnsi="Times New Roman" w:cs="Times New Roman"/>
          <w:b/>
          <w:sz w:val="24"/>
          <w:szCs w:val="24"/>
        </w:rPr>
        <w:t>GEÇİCİ MADDE 1</w:t>
      </w:r>
      <w:r w:rsidRPr="00203E99">
        <w:rPr>
          <w:rFonts w:ascii="Times New Roman" w:hAnsi="Times New Roman" w:cs="Times New Roman"/>
          <w:sz w:val="24"/>
          <w:szCs w:val="24"/>
        </w:rPr>
        <w:t>- (1) 01/01/2026 tarihinden sonra yayımlanmış olan ve bu Uygulama Esaslarında belirtilen şartları sağlayan makaleler için başvurular, Uygulama Esaslarının yürürlüğe girdiği tarihten itibaren üç (3) ay içerisinde yapılabilir.</w:t>
      </w:r>
      <w:r>
        <w:rPr>
          <w:rFonts w:ascii="Times New Roman" w:hAnsi="Times New Roman" w:cs="Times New Roman"/>
          <w:sz w:val="24"/>
          <w:szCs w:val="24"/>
        </w:rPr>
        <w:t xml:space="preserve"> </w:t>
      </w:r>
    </w:p>
    <w:sectPr w:rsidR="00404404" w:rsidRPr="005F10B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2F20" w14:textId="77777777" w:rsidR="0056725A" w:rsidRDefault="0056725A" w:rsidP="00033892">
      <w:pPr>
        <w:spacing w:after="0" w:line="240" w:lineRule="auto"/>
      </w:pPr>
      <w:r>
        <w:separator/>
      </w:r>
    </w:p>
  </w:endnote>
  <w:endnote w:type="continuationSeparator" w:id="0">
    <w:p w14:paraId="5BEB2C05" w14:textId="77777777" w:rsidR="0056725A" w:rsidRDefault="0056725A" w:rsidP="0003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164" w14:textId="2A412180" w:rsidR="00033892" w:rsidRDefault="008572FD" w:rsidP="008572FD">
    <w:pPr>
      <w:pStyle w:val="AltBilgi"/>
      <w:jc w:val="both"/>
    </w:pPr>
    <w:r w:rsidRPr="00724A55">
      <w:rPr>
        <w:sz w:val="20"/>
        <w:szCs w:val="20"/>
      </w:rPr>
      <w:t>Doküman No: DD-159; Revizyon Tarihi: 2</w:t>
    </w:r>
    <w:r w:rsidR="005712AA">
      <w:rPr>
        <w:sz w:val="20"/>
        <w:szCs w:val="20"/>
      </w:rPr>
      <w:t>0</w:t>
    </w:r>
    <w:r w:rsidRPr="00724A55">
      <w:rPr>
        <w:sz w:val="20"/>
        <w:szCs w:val="20"/>
      </w:rPr>
      <w:t>.0</w:t>
    </w:r>
    <w:r w:rsidR="005712AA">
      <w:rPr>
        <w:sz w:val="20"/>
        <w:szCs w:val="20"/>
      </w:rPr>
      <w:t>7</w:t>
    </w:r>
    <w:r w:rsidRPr="00724A55">
      <w:rPr>
        <w:sz w:val="20"/>
        <w:szCs w:val="20"/>
      </w:rPr>
      <w:t>.2026; Revizyon No: 00</w:t>
    </w:r>
    <w:r w:rsidRPr="00724A55">
      <w:rPr>
        <w:sz w:val="20"/>
        <w:szCs w:val="20"/>
      </w:rPr>
      <w:tab/>
      <w:t xml:space="preserve"> </w:t>
    </w:r>
    <w:sdt>
      <w:sdtPr>
        <w:rPr>
          <w:sz w:val="20"/>
          <w:szCs w:val="20"/>
        </w:rPr>
        <w:id w:val="-685819308"/>
        <w:docPartObj>
          <w:docPartGallery w:val="Page Numbers (Bottom of Page)"/>
          <w:docPartUnique/>
        </w:docPartObj>
      </w:sdtPr>
      <w:sdtEndPr>
        <w:rPr>
          <w:sz w:val="22"/>
          <w:szCs w:val="22"/>
        </w:rPr>
      </w:sdtEndPr>
      <w:sdtContent>
        <w:r w:rsidR="00033892" w:rsidRPr="00724A55">
          <w:rPr>
            <w:sz w:val="20"/>
            <w:szCs w:val="20"/>
          </w:rPr>
          <w:fldChar w:fldCharType="begin"/>
        </w:r>
        <w:r w:rsidR="00033892" w:rsidRPr="00724A55">
          <w:rPr>
            <w:sz w:val="20"/>
            <w:szCs w:val="20"/>
          </w:rPr>
          <w:instrText>PAGE   \* MERGEFORMAT</w:instrText>
        </w:r>
        <w:r w:rsidR="00033892" w:rsidRPr="00724A55">
          <w:rPr>
            <w:sz w:val="20"/>
            <w:szCs w:val="20"/>
          </w:rPr>
          <w:fldChar w:fldCharType="separate"/>
        </w:r>
        <w:r w:rsidR="00B31410">
          <w:rPr>
            <w:noProof/>
            <w:sz w:val="20"/>
            <w:szCs w:val="20"/>
          </w:rPr>
          <w:t>4</w:t>
        </w:r>
        <w:r w:rsidR="00033892" w:rsidRPr="00724A55">
          <w:rPr>
            <w:sz w:val="20"/>
            <w:szCs w:val="20"/>
          </w:rPr>
          <w:fldChar w:fldCharType="end"/>
        </w:r>
        <w:r w:rsidRPr="00724A55">
          <w:rPr>
            <w:sz w:val="20"/>
            <w:szCs w:val="20"/>
          </w:rPr>
          <w:t>/4</w:t>
        </w:r>
      </w:sdtContent>
    </w:sdt>
  </w:p>
  <w:p w14:paraId="4251055F" w14:textId="77777777" w:rsidR="00033892" w:rsidRDefault="000338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16DA" w14:textId="77777777" w:rsidR="0056725A" w:rsidRDefault="0056725A" w:rsidP="00033892">
      <w:pPr>
        <w:spacing w:after="0" w:line="240" w:lineRule="auto"/>
      </w:pPr>
      <w:r>
        <w:separator/>
      </w:r>
    </w:p>
  </w:footnote>
  <w:footnote w:type="continuationSeparator" w:id="0">
    <w:p w14:paraId="150A0446" w14:textId="77777777" w:rsidR="0056725A" w:rsidRDefault="0056725A" w:rsidP="00033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3A45" w14:textId="13510324" w:rsidR="00AF1A1E" w:rsidRPr="005A1ED8" w:rsidRDefault="00AF1A1E">
    <w:pPr>
      <w:pStyle w:val="stBilgi"/>
      <w:rPr>
        <w:i/>
      </w:rPr>
    </w:pPr>
    <w:r w:rsidRPr="005A1ED8">
      <w:rPr>
        <w:rFonts w:ascii="Arial" w:hAnsi="Arial" w:cs="Arial"/>
        <w:bCs/>
        <w:i/>
        <w:sz w:val="20"/>
        <w:szCs w:val="20"/>
      </w:rPr>
      <w:t>Ek-11.1: 25.06.2026/</w:t>
    </w:r>
    <w:r w:rsidR="00C739D5" w:rsidRPr="005A1ED8">
      <w:rPr>
        <w:rFonts w:ascii="Arial" w:hAnsi="Arial" w:cs="Arial"/>
        <w:bCs/>
        <w:i/>
        <w:sz w:val="20"/>
        <w:szCs w:val="20"/>
      </w:rPr>
      <w:t>06</w:t>
    </w:r>
    <w:r w:rsidRPr="005A1ED8">
      <w:rPr>
        <w:rFonts w:ascii="Arial" w:hAnsi="Arial" w:cs="Arial"/>
        <w:i/>
        <w:sz w:val="20"/>
        <w:szCs w:val="20"/>
      </w:rPr>
      <w:t>-11 gün ve sayılı Senato kararı ekidir.</w:t>
    </w:r>
  </w:p>
  <w:p w14:paraId="0942556E" w14:textId="3102E4BF" w:rsidR="00D664C3" w:rsidRDefault="00D664C3" w:rsidP="00D664C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6078"/>
    <w:multiLevelType w:val="hybridMultilevel"/>
    <w:tmpl w:val="6C465A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F30B4A"/>
    <w:multiLevelType w:val="hybridMultilevel"/>
    <w:tmpl w:val="74C8B1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3414562">
    <w:abstractNumId w:val="1"/>
  </w:num>
  <w:num w:numId="2" w16cid:durableId="48906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7C"/>
    <w:rsid w:val="00033892"/>
    <w:rsid w:val="00094350"/>
    <w:rsid w:val="000B73F8"/>
    <w:rsid w:val="00131747"/>
    <w:rsid w:val="00203E99"/>
    <w:rsid w:val="0022172B"/>
    <w:rsid w:val="002672EC"/>
    <w:rsid w:val="002A343C"/>
    <w:rsid w:val="003244FC"/>
    <w:rsid w:val="00404404"/>
    <w:rsid w:val="004417ED"/>
    <w:rsid w:val="0045149C"/>
    <w:rsid w:val="00492C09"/>
    <w:rsid w:val="004F114D"/>
    <w:rsid w:val="0056725A"/>
    <w:rsid w:val="005712AA"/>
    <w:rsid w:val="005A1ED8"/>
    <w:rsid w:val="005F10B9"/>
    <w:rsid w:val="00601B01"/>
    <w:rsid w:val="00657CB1"/>
    <w:rsid w:val="00682E69"/>
    <w:rsid w:val="0068747C"/>
    <w:rsid w:val="00690C57"/>
    <w:rsid w:val="006B3E85"/>
    <w:rsid w:val="006E6397"/>
    <w:rsid w:val="00715BD1"/>
    <w:rsid w:val="0072481B"/>
    <w:rsid w:val="00724A55"/>
    <w:rsid w:val="00731B0F"/>
    <w:rsid w:val="00855A9E"/>
    <w:rsid w:val="008572FD"/>
    <w:rsid w:val="00990CB1"/>
    <w:rsid w:val="009B46AE"/>
    <w:rsid w:val="00A17E1F"/>
    <w:rsid w:val="00A735AE"/>
    <w:rsid w:val="00A83E19"/>
    <w:rsid w:val="00AF1A1E"/>
    <w:rsid w:val="00B31410"/>
    <w:rsid w:val="00B427A9"/>
    <w:rsid w:val="00B503AB"/>
    <w:rsid w:val="00B53648"/>
    <w:rsid w:val="00C46547"/>
    <w:rsid w:val="00C64A93"/>
    <w:rsid w:val="00C739D5"/>
    <w:rsid w:val="00CB67A0"/>
    <w:rsid w:val="00CC61DD"/>
    <w:rsid w:val="00CF46B9"/>
    <w:rsid w:val="00D10257"/>
    <w:rsid w:val="00D10849"/>
    <w:rsid w:val="00D664C3"/>
    <w:rsid w:val="00D84E16"/>
    <w:rsid w:val="00DB6825"/>
    <w:rsid w:val="00DD520A"/>
    <w:rsid w:val="00E555B4"/>
    <w:rsid w:val="00EC367D"/>
    <w:rsid w:val="00EE51C3"/>
    <w:rsid w:val="00F536AE"/>
    <w:rsid w:val="00F55464"/>
    <w:rsid w:val="00F609BC"/>
    <w:rsid w:val="00FA1325"/>
    <w:rsid w:val="00FA4C82"/>
    <w:rsid w:val="00FE4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0A4E"/>
  <w15:chartTrackingRefBased/>
  <w15:docId w15:val="{DF587921-5BC5-4569-8D44-AEE85D4A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87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74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747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747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747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747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6874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747C"/>
    <w:rPr>
      <w:b/>
      <w:bCs/>
    </w:rPr>
  </w:style>
  <w:style w:type="paragraph" w:styleId="stBilgi">
    <w:name w:val="header"/>
    <w:basedOn w:val="Normal"/>
    <w:link w:val="stBilgiChar"/>
    <w:uiPriority w:val="99"/>
    <w:unhideWhenUsed/>
    <w:rsid w:val="000338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892"/>
  </w:style>
  <w:style w:type="paragraph" w:styleId="AltBilgi">
    <w:name w:val="footer"/>
    <w:basedOn w:val="Normal"/>
    <w:link w:val="AltBilgiChar"/>
    <w:uiPriority w:val="99"/>
    <w:unhideWhenUsed/>
    <w:rsid w:val="000338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243">
      <w:bodyDiv w:val="1"/>
      <w:marLeft w:val="0"/>
      <w:marRight w:val="0"/>
      <w:marTop w:val="0"/>
      <w:marBottom w:val="0"/>
      <w:divBdr>
        <w:top w:val="none" w:sz="0" w:space="0" w:color="auto"/>
        <w:left w:val="none" w:sz="0" w:space="0" w:color="auto"/>
        <w:bottom w:val="none" w:sz="0" w:space="0" w:color="auto"/>
        <w:right w:val="none" w:sz="0" w:space="0" w:color="auto"/>
      </w:divBdr>
    </w:div>
    <w:div w:id="1108935948">
      <w:bodyDiv w:val="1"/>
      <w:marLeft w:val="0"/>
      <w:marRight w:val="0"/>
      <w:marTop w:val="0"/>
      <w:marBottom w:val="0"/>
      <w:divBdr>
        <w:top w:val="none" w:sz="0" w:space="0" w:color="auto"/>
        <w:left w:val="none" w:sz="0" w:space="0" w:color="auto"/>
        <w:bottom w:val="none" w:sz="0" w:space="0" w:color="auto"/>
        <w:right w:val="none" w:sz="0" w:space="0" w:color="auto"/>
      </w:divBdr>
    </w:div>
    <w:div w:id="11570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5BB32D285104E84292CAC9B4CC081AD3" ma:contentTypeVersion="15" ma:contentTypeDescription="Yeni belge oluşturun." ma:contentTypeScope="" ma:versionID="5575659ad44b72b841c1cc206f4c0eb8">
  <xsd:schema xmlns:xsd="http://www.w3.org/2001/XMLSchema" xmlns:xs="http://www.w3.org/2001/XMLSchema" xmlns:p="http://schemas.microsoft.com/office/2006/metadata/properties" xmlns:ns3="703e5a30-5667-4e91-a283-82abcde52358" xmlns:ns4="8b45ffa9-243e-4bde-9a88-4c94cef01183" targetNamespace="http://schemas.microsoft.com/office/2006/metadata/properties" ma:root="true" ma:fieldsID="4bec47b1b79c8fef8b9a0b05deb828a2" ns3:_="" ns4:_="">
    <xsd:import namespace="703e5a30-5667-4e91-a283-82abcde52358"/>
    <xsd:import namespace="8b45ffa9-243e-4bde-9a88-4c94cef0118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4:SharedWithUsers" minOccurs="0"/>
                <xsd:element ref="ns4:SharedWithDetails" minOccurs="0"/>
                <xsd:element ref="ns4:SharingHintHash"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e5a30-5667-4e91-a283-82abcde5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5ffa9-243e-4bde-9a88-4c94cef01183"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3e5a30-5667-4e91-a283-82abcde523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806B4-2954-4BA4-8C12-A1490E7EA669}">
  <ds:schemaRefs>
    <ds:schemaRef ds:uri="http://schemas.openxmlformats.org/officeDocument/2006/bibliography"/>
  </ds:schemaRefs>
</ds:datastoreItem>
</file>

<file path=customXml/itemProps2.xml><?xml version="1.0" encoding="utf-8"?>
<ds:datastoreItem xmlns:ds="http://schemas.openxmlformats.org/officeDocument/2006/customXml" ds:itemID="{6F82559B-4606-4BC4-B718-18D0ACDF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e5a30-5667-4e91-a283-82abcde52358"/>
    <ds:schemaRef ds:uri="8b45ffa9-243e-4bde-9a88-4c94cef01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0C530-730C-49FD-9C9B-2A021D95F8D0}">
  <ds:schemaRefs>
    <ds:schemaRef ds:uri="http://schemas.microsoft.com/office/2006/metadata/properties"/>
    <ds:schemaRef ds:uri="http://schemas.microsoft.com/office/infopath/2007/PartnerControls"/>
    <ds:schemaRef ds:uri="703e5a30-5667-4e91-a283-82abcde52358"/>
  </ds:schemaRefs>
</ds:datastoreItem>
</file>

<file path=customXml/itemProps4.xml><?xml version="1.0" encoding="utf-8"?>
<ds:datastoreItem xmlns:ds="http://schemas.openxmlformats.org/officeDocument/2006/customXml" ds:itemID="{5F39E0FB-2581-43E5-A3C4-B752561D9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4292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Güleda ENGİN</dc:creator>
  <cp:keywords/>
  <dc:description/>
  <cp:lastModifiedBy>Ceylan Merve BİNİCİ</cp:lastModifiedBy>
  <cp:revision>2</cp:revision>
  <cp:lastPrinted>2026-06-22T13:43:00Z</cp:lastPrinted>
  <dcterms:created xsi:type="dcterms:W3CDTF">2026-07-20T08:26:00Z</dcterms:created>
  <dcterms:modified xsi:type="dcterms:W3CDTF">2026-07-20T08:26:00Z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0x0101005BB32D285104E84292CAC9B4CC081AD3</vt:lpwstr>
  </property>
</Properties>
</file>